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E412" w14:textId="22ED39BA" w:rsidR="005F4F3F" w:rsidRDefault="00027AC5" w:rsidP="00DF0893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 xml:space="preserve">Valami </w:t>
      </w:r>
      <w:r w:rsidR="001B0659">
        <w:rPr>
          <w:b/>
          <w:sz w:val="28"/>
          <w:szCs w:val="28"/>
        </w:rPr>
        <w:t>zavaros az étolaj piac</w:t>
      </w:r>
      <w:r w:rsidR="00C93CE7">
        <w:rPr>
          <w:b/>
          <w:sz w:val="28"/>
          <w:szCs w:val="28"/>
        </w:rPr>
        <w:t>á</w:t>
      </w:r>
      <w:r w:rsidR="001B0659">
        <w:rPr>
          <w:b/>
          <w:sz w:val="28"/>
          <w:szCs w:val="28"/>
        </w:rPr>
        <w:t>n, a GVH vizsgálatot indított</w:t>
      </w:r>
    </w:p>
    <w:p w14:paraId="6B81E305" w14:textId="4E406219" w:rsidR="001B0659" w:rsidRDefault="005F4F3F" w:rsidP="00DF0893">
      <w:pPr>
        <w:tabs>
          <w:tab w:val="left" w:pos="567"/>
        </w:tabs>
        <w:spacing w:after="120"/>
        <w:ind w:left="0"/>
        <w:rPr>
          <w:rStyle w:val="Kiemels2"/>
          <w:rFonts w:eastAsiaTheme="majorEastAsia"/>
        </w:rPr>
      </w:pPr>
      <w:r w:rsidRPr="00314723">
        <w:rPr>
          <w:b/>
        </w:rPr>
        <w:t>Budapest, 202</w:t>
      </w:r>
      <w:r w:rsidR="00615C7D">
        <w:rPr>
          <w:b/>
        </w:rPr>
        <w:t>6</w:t>
      </w:r>
      <w:r w:rsidRPr="00314723">
        <w:rPr>
          <w:b/>
        </w:rPr>
        <w:t xml:space="preserve">. </w:t>
      </w:r>
      <w:r w:rsidR="00615C7D">
        <w:rPr>
          <w:b/>
        </w:rPr>
        <w:t>január</w:t>
      </w:r>
      <w:r w:rsidR="00990458">
        <w:rPr>
          <w:b/>
        </w:rPr>
        <w:t xml:space="preserve"> </w:t>
      </w:r>
      <w:r w:rsidR="00425C3A">
        <w:rPr>
          <w:b/>
        </w:rPr>
        <w:t>2</w:t>
      </w:r>
      <w:r w:rsidR="001B0659">
        <w:rPr>
          <w:b/>
        </w:rPr>
        <w:t>3</w:t>
      </w:r>
      <w:r w:rsidRPr="00314723">
        <w:rPr>
          <w:b/>
        </w:rPr>
        <w:t>. –</w:t>
      </w:r>
      <w:bookmarkEnd w:id="0"/>
      <w:r w:rsidR="00E7057C">
        <w:rPr>
          <w:b/>
        </w:rPr>
        <w:t xml:space="preserve"> </w:t>
      </w:r>
      <w:r w:rsidR="001B0659">
        <w:rPr>
          <w:rStyle w:val="Kiemels2"/>
          <w:rFonts w:eastAsiaTheme="majorEastAsia"/>
        </w:rPr>
        <w:t xml:space="preserve">Nagyobb mértékben drágult az étolaj Magyarországon, mint a környező országokban, ezért a Gazdasági Versenyhivatal (GVH) gyorsított ágazati vizsgálatot indított. A GVH gyanúja szerint </w:t>
      </w:r>
      <w:r w:rsidR="00180BD3">
        <w:rPr>
          <w:rStyle w:val="Kiemels2"/>
          <w:rFonts w:eastAsiaTheme="majorEastAsia"/>
        </w:rPr>
        <w:t xml:space="preserve">ágazati piaci jellemzők vezethettek ahhoz, hogy Magyarországon magasabb árszint alakult ki. </w:t>
      </w:r>
      <w:r w:rsidR="004129E4" w:rsidRPr="004129E4">
        <w:rPr>
          <w:rStyle w:val="Kiemels2"/>
          <w:rFonts w:eastAsiaTheme="majorEastAsia"/>
        </w:rPr>
        <w:t>A nemzeti versenyhatóság</w:t>
      </w:r>
      <w:r w:rsidR="004129E4">
        <w:rPr>
          <w:rStyle w:val="Kiemels2"/>
          <w:rFonts w:eastAsiaTheme="majorEastAsia"/>
        </w:rPr>
        <w:t xml:space="preserve"> szorosan együttműködve a Magyar Nemzeti Bankkal (MNB)</w:t>
      </w:r>
      <w:r w:rsidR="004129E4" w:rsidRPr="004129E4">
        <w:rPr>
          <w:rStyle w:val="Kiemels2"/>
          <w:rFonts w:eastAsiaTheme="majorEastAsia"/>
        </w:rPr>
        <w:t xml:space="preserve"> továbbra is minden rendelkezésére álló eszkö</w:t>
      </w:r>
      <w:r w:rsidR="004129E4">
        <w:rPr>
          <w:rStyle w:val="Kiemels2"/>
          <w:rFonts w:eastAsiaTheme="majorEastAsia"/>
        </w:rPr>
        <w:t>zével</w:t>
      </w:r>
      <w:r w:rsidR="004129E4" w:rsidRPr="004129E4">
        <w:rPr>
          <w:rStyle w:val="Kiemels2"/>
          <w:rFonts w:eastAsiaTheme="majorEastAsia"/>
        </w:rPr>
        <w:t xml:space="preserve"> azon dolgozik, hogy megvédje a magyar fogyasztókat a</w:t>
      </w:r>
      <w:r w:rsidR="00180BD3">
        <w:rPr>
          <w:rStyle w:val="Kiemels2"/>
          <w:rFonts w:eastAsiaTheme="majorEastAsia"/>
        </w:rPr>
        <w:t xml:space="preserve"> versenyhiányból fakadó</w:t>
      </w:r>
      <w:r w:rsidR="004129E4" w:rsidRPr="004129E4">
        <w:rPr>
          <w:rStyle w:val="Kiemels2"/>
          <w:rFonts w:eastAsiaTheme="majorEastAsia"/>
        </w:rPr>
        <w:t xml:space="preserve"> túlzó áremelésektől</w:t>
      </w:r>
      <w:r w:rsidR="00B56A7D">
        <w:rPr>
          <w:rStyle w:val="Kiemels2"/>
          <w:rFonts w:eastAsiaTheme="majorEastAsia"/>
        </w:rPr>
        <w:t xml:space="preserve"> és a jogsértő gyakorlatoktól.</w:t>
      </w:r>
    </w:p>
    <w:p w14:paraId="6A57FC6B" w14:textId="541315B8" w:rsidR="00E50100" w:rsidRDefault="003E4DCA" w:rsidP="00DF0893">
      <w:pPr>
        <w:tabs>
          <w:tab w:val="left" w:pos="567"/>
        </w:tabs>
        <w:spacing w:after="120"/>
        <w:ind w:left="0"/>
        <w:rPr>
          <w:rStyle w:val="Kiemels2"/>
          <w:rFonts w:eastAsiaTheme="majorEastAsia"/>
          <w:b w:val="0"/>
          <w:bCs w:val="0"/>
        </w:rPr>
      </w:pPr>
      <w:hyperlink r:id="rId8" w:history="1">
        <w:r w:rsidRPr="004A664B">
          <w:rPr>
            <w:rStyle w:val="Hiperhivatkozs"/>
            <w:rFonts w:eastAsiaTheme="majorEastAsia"/>
          </w:rPr>
          <w:t>Varga Mihály, a Magyar Nemzeti Bank elnöke és Rigó Csaba Balázs, a Gazdasági Versenyhivatal elnöke tavaly decemberben jelentette be</w:t>
        </w:r>
      </w:hyperlink>
      <w:r>
        <w:rPr>
          <w:rStyle w:val="Kiemels2"/>
          <w:rFonts w:eastAsiaTheme="majorEastAsia"/>
          <w:b w:val="0"/>
          <w:bCs w:val="0"/>
        </w:rPr>
        <w:t xml:space="preserve">, hogy a két intézmény új alapokra helyezi együttműködését az infláció csökkentése és a tisztességes piaci verseny fenntartása érdekében. Az együttműködés keretében a versenyhatóság a jegybankkal </w:t>
      </w:r>
      <w:r w:rsidR="001B0659" w:rsidRPr="001B0659">
        <w:rPr>
          <w:rStyle w:val="Kiemels2"/>
          <w:rFonts w:eastAsiaTheme="majorEastAsia"/>
          <w:b w:val="0"/>
          <w:bCs w:val="0"/>
        </w:rPr>
        <w:t>közösen vizsgálj</w:t>
      </w:r>
      <w:r w:rsidR="00C93CE7">
        <w:rPr>
          <w:rStyle w:val="Kiemels2"/>
          <w:rFonts w:eastAsiaTheme="majorEastAsia"/>
          <w:b w:val="0"/>
          <w:bCs w:val="0"/>
        </w:rPr>
        <w:t>a egyes élelmiszerek árazási gyakorlatát.</w:t>
      </w:r>
      <w:r w:rsidR="001B0659" w:rsidRPr="001B0659">
        <w:rPr>
          <w:rStyle w:val="Kiemels2"/>
          <w:rFonts w:eastAsiaTheme="majorEastAsia"/>
          <w:b w:val="0"/>
          <w:bCs w:val="0"/>
        </w:rPr>
        <w:t xml:space="preserve"> </w:t>
      </w:r>
      <w:hyperlink r:id="rId9" w:history="1">
        <w:r w:rsidR="00C93CE7" w:rsidRPr="004A664B">
          <w:rPr>
            <w:rStyle w:val="Hiperhivatkozs"/>
            <w:rFonts w:eastAsiaTheme="majorEastAsia"/>
          </w:rPr>
          <w:t xml:space="preserve">A </w:t>
        </w:r>
        <w:r w:rsidR="001B0659" w:rsidRPr="004A664B">
          <w:rPr>
            <w:rStyle w:val="Hiperhivatkozs"/>
            <w:rFonts w:eastAsiaTheme="majorEastAsia"/>
          </w:rPr>
          <w:t>GVH már akkor jelezte</w:t>
        </w:r>
      </w:hyperlink>
      <w:r w:rsidR="001B0659">
        <w:rPr>
          <w:rStyle w:val="Kiemels2"/>
          <w:rFonts w:eastAsiaTheme="majorEastAsia"/>
          <w:b w:val="0"/>
          <w:bCs w:val="0"/>
        </w:rPr>
        <w:t xml:space="preserve">, hogy </w:t>
      </w:r>
      <w:r w:rsidR="001B0659" w:rsidRPr="001B0659">
        <w:rPr>
          <w:rStyle w:val="Kiemels2"/>
          <w:rFonts w:eastAsiaTheme="majorEastAsia"/>
          <w:b w:val="0"/>
          <w:bCs w:val="0"/>
        </w:rPr>
        <w:t>mérlegeli a versenyjogi eszköztárába tartozó eszközök alkalmazását, így indokolt esetben gyorsított ágazati vizsgálatot indíthat az ágazati problémák versenyközpontú értékelése érdekében</w:t>
      </w:r>
      <w:r w:rsidR="001B0659">
        <w:rPr>
          <w:rStyle w:val="Kiemels2"/>
          <w:rFonts w:eastAsiaTheme="majorEastAsia"/>
          <w:b w:val="0"/>
          <w:bCs w:val="0"/>
        </w:rPr>
        <w:t>.</w:t>
      </w:r>
      <w:r w:rsidR="00B070E2">
        <w:rPr>
          <w:rStyle w:val="Kiemels2"/>
          <w:rFonts w:eastAsiaTheme="majorEastAsia"/>
          <w:b w:val="0"/>
          <w:bCs w:val="0"/>
        </w:rPr>
        <w:t xml:space="preserve"> </w:t>
      </w:r>
    </w:p>
    <w:p w14:paraId="12924652" w14:textId="52585A6E" w:rsidR="00E50100" w:rsidRDefault="00E50100" w:rsidP="00E50100">
      <w:pPr>
        <w:tabs>
          <w:tab w:val="left" w:pos="567"/>
        </w:tabs>
        <w:spacing w:after="120"/>
        <w:ind w:left="0"/>
        <w:rPr>
          <w:rStyle w:val="Kiemels2"/>
          <w:rFonts w:eastAsiaTheme="majorEastAsia"/>
          <w:b w:val="0"/>
          <w:bCs w:val="0"/>
        </w:rPr>
      </w:pPr>
      <w:r w:rsidRPr="00E50100">
        <w:rPr>
          <w:rStyle w:val="Kiemels2"/>
          <w:rFonts w:eastAsiaTheme="majorEastAsia"/>
          <w:b w:val="0"/>
          <w:bCs w:val="0"/>
        </w:rPr>
        <w:t>A hazai fogyasztói árszint összességében az EU-</w:t>
      </w:r>
      <w:r>
        <w:rPr>
          <w:rStyle w:val="Kiemels2"/>
          <w:rFonts w:eastAsiaTheme="majorEastAsia"/>
          <w:b w:val="0"/>
          <w:bCs w:val="0"/>
        </w:rPr>
        <w:t>s</w:t>
      </w:r>
      <w:r w:rsidRPr="00E50100">
        <w:rPr>
          <w:rStyle w:val="Kiemels2"/>
          <w:rFonts w:eastAsiaTheme="majorEastAsia"/>
          <w:b w:val="0"/>
          <w:bCs w:val="0"/>
        </w:rPr>
        <w:t xml:space="preserve"> átlag 69 százalékán áll. Ehhez képest az élelmiszerek ára mindössze 4,9 százalékkal marad el az EU-s árszinttől, míg a régiós országok áraihoz képest a hazai</w:t>
      </w:r>
      <w:r>
        <w:rPr>
          <w:rStyle w:val="Kiemels2"/>
          <w:rFonts w:eastAsiaTheme="majorEastAsia"/>
          <w:b w:val="0"/>
          <w:bCs w:val="0"/>
        </w:rPr>
        <w:t xml:space="preserve"> </w:t>
      </w:r>
      <w:r w:rsidRPr="00E50100">
        <w:rPr>
          <w:rStyle w:val="Kiemels2"/>
          <w:rFonts w:eastAsiaTheme="majorEastAsia"/>
          <w:b w:val="0"/>
          <w:bCs w:val="0"/>
        </w:rPr>
        <w:t xml:space="preserve">termékcsoport mintegy 10 százalékkal drágább. </w:t>
      </w:r>
      <w:r>
        <w:rPr>
          <w:rStyle w:val="Kiemels2"/>
          <w:rFonts w:eastAsiaTheme="majorEastAsia"/>
          <w:b w:val="0"/>
          <w:bCs w:val="0"/>
        </w:rPr>
        <w:t>J</w:t>
      </w:r>
      <w:r w:rsidRPr="00E50100">
        <w:rPr>
          <w:rStyle w:val="Kiemels2"/>
          <w:rFonts w:eastAsiaTheme="majorEastAsia"/>
          <w:b w:val="0"/>
          <w:bCs w:val="0"/>
        </w:rPr>
        <w:t>elentős különbség mutatkozik</w:t>
      </w:r>
      <w:r>
        <w:rPr>
          <w:rStyle w:val="Kiemels2"/>
          <w:rFonts w:eastAsiaTheme="majorEastAsia"/>
          <w:b w:val="0"/>
          <w:bCs w:val="0"/>
        </w:rPr>
        <w:t xml:space="preserve"> tehát</w:t>
      </w:r>
      <w:r w:rsidRPr="00E50100">
        <w:rPr>
          <w:rStyle w:val="Kiemels2"/>
          <w:rFonts w:eastAsiaTheme="majorEastAsia"/>
          <w:b w:val="0"/>
          <w:bCs w:val="0"/>
        </w:rPr>
        <w:t xml:space="preserve"> az általános árszint és az élelmiszerárak között, ami nehezen indokolható a hazai fejlettséggel vagy egyéb makrogazdasági tényezővel</w:t>
      </w:r>
      <w:r>
        <w:rPr>
          <w:rStyle w:val="Kiemels2"/>
          <w:rFonts w:eastAsiaTheme="majorEastAsia"/>
          <w:b w:val="0"/>
          <w:bCs w:val="0"/>
        </w:rPr>
        <w:t xml:space="preserve">. </w:t>
      </w:r>
      <w:r w:rsidRPr="00E50100">
        <w:rPr>
          <w:rStyle w:val="Kiemels2"/>
          <w:rFonts w:eastAsiaTheme="majorEastAsia"/>
          <w:b w:val="0"/>
          <w:bCs w:val="0"/>
        </w:rPr>
        <w:t>Az élelmiszer-termékkörön belül a legmagasabb árszint az étolajat is magába</w:t>
      </w:r>
      <w:r w:rsidR="009A782B">
        <w:rPr>
          <w:rStyle w:val="Kiemels2"/>
          <w:rFonts w:eastAsiaTheme="majorEastAsia"/>
          <w:b w:val="0"/>
          <w:bCs w:val="0"/>
        </w:rPr>
        <w:t>n</w:t>
      </w:r>
      <w:r w:rsidRPr="00E50100">
        <w:rPr>
          <w:rStyle w:val="Kiemels2"/>
          <w:rFonts w:eastAsiaTheme="majorEastAsia"/>
          <w:b w:val="0"/>
          <w:bCs w:val="0"/>
        </w:rPr>
        <w:t xml:space="preserve"> foglaló olajok és zsírok élelmiszercsopo</w:t>
      </w:r>
      <w:r>
        <w:rPr>
          <w:rStyle w:val="Kiemels2"/>
          <w:rFonts w:eastAsiaTheme="majorEastAsia"/>
          <w:b w:val="0"/>
          <w:bCs w:val="0"/>
        </w:rPr>
        <w:t>rtnál tapasztalható</w:t>
      </w:r>
      <w:r w:rsidRPr="00E50100">
        <w:rPr>
          <w:rStyle w:val="Kiemels2"/>
          <w:rFonts w:eastAsiaTheme="majorEastAsia"/>
          <w:b w:val="0"/>
          <w:bCs w:val="0"/>
        </w:rPr>
        <w:t>. Ennél a termékkörnél a hazai árszint</w:t>
      </w:r>
      <w:r w:rsidR="00467562">
        <w:rPr>
          <w:rStyle w:val="Kiemels2"/>
          <w:rFonts w:eastAsiaTheme="majorEastAsia"/>
          <w:b w:val="0"/>
          <w:bCs w:val="0"/>
        </w:rPr>
        <w:t xml:space="preserve"> közel</w:t>
      </w:r>
      <w:r w:rsidRPr="00E50100">
        <w:rPr>
          <w:rStyle w:val="Kiemels2"/>
          <w:rFonts w:eastAsiaTheme="majorEastAsia"/>
          <w:b w:val="0"/>
          <w:bCs w:val="0"/>
        </w:rPr>
        <w:t xml:space="preserve"> 10 százalékkal haladja meg az uniós és 16 százalékkal a régiós átlagot az Eurostat adatai szerint.</w:t>
      </w:r>
    </w:p>
    <w:p w14:paraId="5ADB5250" w14:textId="57D78E6B" w:rsidR="00467562" w:rsidRPr="00E50100" w:rsidRDefault="00467562" w:rsidP="00E50100">
      <w:pPr>
        <w:tabs>
          <w:tab w:val="left" w:pos="567"/>
        </w:tabs>
        <w:spacing w:after="120"/>
        <w:ind w:left="0"/>
        <w:rPr>
          <w:rStyle w:val="Kiemels2"/>
          <w:rFonts w:eastAsiaTheme="majorEastAsia"/>
          <w:b w:val="0"/>
          <w:bCs w:val="0"/>
        </w:rPr>
      </w:pPr>
      <w:r w:rsidRPr="00467562">
        <w:rPr>
          <w:rStyle w:val="Kiemels2"/>
          <w:rFonts w:eastAsiaTheme="majorEastAsia"/>
          <w:b w:val="0"/>
          <w:bCs w:val="0"/>
        </w:rPr>
        <w:t>A Központi Statisztikai Hivatal (KSH) adatai alapján Magyarországon az egy főre jutó étolajfogyasztás 10-12 liter körül mozog évente, ami azt jelenti, hogy több</w:t>
      </w:r>
      <w:r w:rsidR="00333AA6">
        <w:rPr>
          <w:rStyle w:val="Kiemels2"/>
          <w:rFonts w:eastAsiaTheme="majorEastAsia"/>
          <w:b w:val="0"/>
          <w:bCs w:val="0"/>
        </w:rPr>
        <w:t xml:space="preserve"> mint</w:t>
      </w:r>
      <w:r w:rsidRPr="00467562">
        <w:rPr>
          <w:rStyle w:val="Kiemels2"/>
          <w:rFonts w:eastAsiaTheme="majorEastAsia"/>
          <w:b w:val="0"/>
          <w:bCs w:val="0"/>
        </w:rPr>
        <w:t xml:space="preserve"> 100 millió liter étolaj (főleg napraforgóolaj) kerül felhasználásra a hazai háztartásokban. A napraforgó-étolaj iránti fogyasztói keresletet, illetve a napraforgó-étolaj alapanyag</w:t>
      </w:r>
      <w:r w:rsidR="009A782B">
        <w:rPr>
          <w:rStyle w:val="Kiemels2"/>
          <w:rFonts w:eastAsiaTheme="majorEastAsia"/>
          <w:b w:val="0"/>
          <w:bCs w:val="0"/>
        </w:rPr>
        <w:t>á</w:t>
      </w:r>
      <w:r w:rsidRPr="00467562">
        <w:rPr>
          <w:rStyle w:val="Kiemels2"/>
          <w:rFonts w:eastAsiaTheme="majorEastAsia"/>
          <w:b w:val="0"/>
          <w:bCs w:val="0"/>
        </w:rPr>
        <w:t>ul szolgáló olajos magvak iránti keresletet nagyobb részben a hazai szereplők, kisebb részben külföldi import elégíti ki, utóbbi mintegy 10-20 százalékra tehető.</w:t>
      </w:r>
    </w:p>
    <w:p w14:paraId="514CDE6A" w14:textId="14EFA7E6" w:rsidR="00E50100" w:rsidRDefault="00467562" w:rsidP="00E50100">
      <w:pPr>
        <w:tabs>
          <w:tab w:val="left" w:pos="567"/>
        </w:tabs>
        <w:spacing w:after="120"/>
        <w:ind w:left="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 xml:space="preserve">A GVH és az MNB szakértői feltárták, hogy 2024 decembere óta </w:t>
      </w:r>
      <w:r w:rsidR="00E50100">
        <w:rPr>
          <w:rStyle w:val="Kiemels2"/>
          <w:rFonts w:eastAsiaTheme="majorEastAsia"/>
          <w:b w:val="0"/>
          <w:bCs w:val="0"/>
        </w:rPr>
        <w:t xml:space="preserve">Magyarországon az </w:t>
      </w:r>
      <w:r w:rsidR="00E50100" w:rsidRPr="00E50100">
        <w:rPr>
          <w:rStyle w:val="Kiemels2"/>
          <w:rFonts w:eastAsiaTheme="majorEastAsia"/>
          <w:b w:val="0"/>
          <w:bCs w:val="0"/>
        </w:rPr>
        <w:t>étolaj ára euróban kifejezve</w:t>
      </w:r>
      <w:r>
        <w:rPr>
          <w:rStyle w:val="Kiemels2"/>
          <w:rFonts w:eastAsiaTheme="majorEastAsia"/>
          <w:b w:val="0"/>
          <w:bCs w:val="0"/>
        </w:rPr>
        <w:t xml:space="preserve"> – </w:t>
      </w:r>
      <w:r w:rsidR="00E50100" w:rsidRPr="00E50100">
        <w:rPr>
          <w:rStyle w:val="Kiemels2"/>
          <w:rFonts w:eastAsiaTheme="majorEastAsia"/>
          <w:b w:val="0"/>
          <w:bCs w:val="0"/>
        </w:rPr>
        <w:t xml:space="preserve">az árréskorlátozások </w:t>
      </w:r>
      <w:proofErr w:type="spellStart"/>
      <w:r w:rsidR="00E50100" w:rsidRPr="00E50100">
        <w:rPr>
          <w:rStyle w:val="Kiemels2"/>
          <w:rFonts w:eastAsiaTheme="majorEastAsia"/>
          <w:b w:val="0"/>
          <w:bCs w:val="0"/>
        </w:rPr>
        <w:t>ármérséklő</w:t>
      </w:r>
      <w:proofErr w:type="spellEnd"/>
      <w:r w:rsidR="00E50100" w:rsidRPr="00E50100">
        <w:rPr>
          <w:rStyle w:val="Kiemels2"/>
          <w:rFonts w:eastAsiaTheme="majorEastAsia"/>
          <w:b w:val="0"/>
          <w:bCs w:val="0"/>
        </w:rPr>
        <w:t xml:space="preserve"> hatása mellett is</w:t>
      </w:r>
      <w:r>
        <w:rPr>
          <w:rStyle w:val="Kiemels2"/>
          <w:rFonts w:eastAsiaTheme="majorEastAsia"/>
          <w:b w:val="0"/>
          <w:bCs w:val="0"/>
        </w:rPr>
        <w:t xml:space="preserve"> – </w:t>
      </w:r>
      <w:r w:rsidR="00E50100" w:rsidRPr="00E50100">
        <w:rPr>
          <w:rStyle w:val="Kiemels2"/>
          <w:rFonts w:eastAsiaTheme="majorEastAsia"/>
          <w:b w:val="0"/>
          <w:bCs w:val="0"/>
        </w:rPr>
        <w:t xml:space="preserve">jobban emelkedett, mint a régiós átlag. Az étolaj hazai fogyasztói ára 2024 decembere és 2025 őszi hónapjai között euróban számolva 15,8 százalékkal </w:t>
      </w:r>
      <w:r w:rsidR="00E50100">
        <w:rPr>
          <w:rStyle w:val="Kiemels2"/>
          <w:rFonts w:eastAsiaTheme="majorEastAsia"/>
          <w:b w:val="0"/>
          <w:bCs w:val="0"/>
        </w:rPr>
        <w:t>nőtt</w:t>
      </w:r>
      <w:r w:rsidR="00E50100" w:rsidRPr="00E50100">
        <w:rPr>
          <w:rStyle w:val="Kiemels2"/>
          <w:rFonts w:eastAsiaTheme="majorEastAsia"/>
          <w:b w:val="0"/>
          <w:bCs w:val="0"/>
        </w:rPr>
        <w:t>. E</w:t>
      </w:r>
      <w:r>
        <w:rPr>
          <w:rStyle w:val="Kiemels2"/>
          <w:rFonts w:eastAsiaTheme="majorEastAsia"/>
          <w:b w:val="0"/>
          <w:bCs w:val="0"/>
        </w:rPr>
        <w:t>hhez képest</w:t>
      </w:r>
      <w:r w:rsidR="00E50100" w:rsidRPr="00E50100">
        <w:rPr>
          <w:rStyle w:val="Kiemels2"/>
          <w:rFonts w:eastAsiaTheme="majorEastAsia"/>
          <w:b w:val="0"/>
          <w:bCs w:val="0"/>
        </w:rPr>
        <w:t xml:space="preserve"> a másik három visegrádi országban az euróban számított átlagos áremelkedés 9,7 százalék volt ugyanebben az időszakban. Az árrés</w:t>
      </w:r>
      <w:r>
        <w:rPr>
          <w:rStyle w:val="Kiemels2"/>
          <w:rFonts w:eastAsiaTheme="majorEastAsia"/>
          <w:b w:val="0"/>
          <w:bCs w:val="0"/>
        </w:rPr>
        <w:t>korlátozás</w:t>
      </w:r>
      <w:r w:rsidR="00E50100" w:rsidRPr="00E50100">
        <w:rPr>
          <w:rStyle w:val="Kiemels2"/>
          <w:rFonts w:eastAsiaTheme="majorEastAsia"/>
          <w:b w:val="0"/>
          <w:bCs w:val="0"/>
        </w:rPr>
        <w:t xml:space="preserve"> bevezetése mellett is markáns drágulás figyelhető meg a</w:t>
      </w:r>
      <w:r w:rsidR="00E50100">
        <w:rPr>
          <w:rStyle w:val="Kiemels2"/>
          <w:rFonts w:eastAsiaTheme="majorEastAsia"/>
          <w:b w:val="0"/>
          <w:bCs w:val="0"/>
        </w:rPr>
        <w:t xml:space="preserve"> hazai</w:t>
      </w:r>
      <w:r w:rsidR="00E50100" w:rsidRPr="00E50100">
        <w:rPr>
          <w:rStyle w:val="Kiemels2"/>
          <w:rFonts w:eastAsiaTheme="majorEastAsia"/>
          <w:b w:val="0"/>
          <w:bCs w:val="0"/>
        </w:rPr>
        <w:t xml:space="preserve"> piacon, ami tovább növeli az amúgy is érdemi különbséget a hazai árszint és a régiós</w:t>
      </w:r>
      <w:r w:rsidR="00E50100">
        <w:rPr>
          <w:rStyle w:val="Kiemels2"/>
          <w:rFonts w:eastAsiaTheme="majorEastAsia"/>
          <w:b w:val="0"/>
          <w:bCs w:val="0"/>
        </w:rPr>
        <w:t xml:space="preserve"> árak</w:t>
      </w:r>
      <w:r w:rsidR="00E50100" w:rsidRPr="00E50100">
        <w:rPr>
          <w:rStyle w:val="Kiemels2"/>
          <w:rFonts w:eastAsiaTheme="majorEastAsia"/>
          <w:b w:val="0"/>
          <w:bCs w:val="0"/>
        </w:rPr>
        <w:t xml:space="preserve"> között.</w:t>
      </w:r>
    </w:p>
    <w:p w14:paraId="2C4D716D" w14:textId="42AB3570" w:rsidR="001B0659" w:rsidRDefault="00B56A7D" w:rsidP="00DF0893">
      <w:pPr>
        <w:tabs>
          <w:tab w:val="left" w:pos="567"/>
        </w:tabs>
        <w:spacing w:after="120"/>
        <w:ind w:left="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>Mindezek alapján a</w:t>
      </w:r>
      <w:r w:rsidR="00DF0893" w:rsidRPr="00DF0893">
        <w:rPr>
          <w:rStyle w:val="Kiemels2"/>
          <w:rFonts w:eastAsiaTheme="majorEastAsia"/>
          <w:b w:val="0"/>
          <w:bCs w:val="0"/>
        </w:rPr>
        <w:t xml:space="preserve"> </w:t>
      </w:r>
      <w:r w:rsidR="00DF0893">
        <w:rPr>
          <w:rStyle w:val="Kiemels2"/>
          <w:rFonts w:eastAsiaTheme="majorEastAsia"/>
          <w:b w:val="0"/>
          <w:bCs w:val="0"/>
        </w:rPr>
        <w:t>GVH</w:t>
      </w:r>
      <w:r w:rsidR="004129E4">
        <w:rPr>
          <w:rStyle w:val="Kiemels2"/>
          <w:rFonts w:eastAsiaTheme="majorEastAsia"/>
          <w:b w:val="0"/>
          <w:bCs w:val="0"/>
        </w:rPr>
        <w:t xml:space="preserve"> arra a következtetésre jutott, hogy a napraforgó</w:t>
      </w:r>
      <w:r w:rsidR="00481BDE">
        <w:rPr>
          <w:rStyle w:val="Kiemels2"/>
          <w:rFonts w:eastAsiaTheme="majorEastAsia"/>
          <w:b w:val="0"/>
          <w:bCs w:val="0"/>
        </w:rPr>
        <w:t>-</w:t>
      </w:r>
      <w:r w:rsidR="004129E4">
        <w:rPr>
          <w:rStyle w:val="Kiemels2"/>
          <w:rFonts w:eastAsiaTheme="majorEastAsia"/>
          <w:b w:val="0"/>
          <w:bCs w:val="0"/>
        </w:rPr>
        <w:t>étolaj piacán</w:t>
      </w:r>
      <w:r w:rsidR="00DF0893" w:rsidRPr="00DF0893">
        <w:rPr>
          <w:rStyle w:val="Kiemels2"/>
          <w:rFonts w:eastAsiaTheme="majorEastAsia"/>
          <w:b w:val="0"/>
          <w:bCs w:val="0"/>
        </w:rPr>
        <w:t xml:space="preserve"> indokolt megvizsgálni, hogy az értéklánc különböző szintjeire ható piaci tényezők mennyiben járulhattak hozzá</w:t>
      </w:r>
      <w:r w:rsidR="004129E4">
        <w:rPr>
          <w:rStyle w:val="Kiemels2"/>
          <w:rFonts w:eastAsiaTheme="majorEastAsia"/>
          <w:b w:val="0"/>
          <w:bCs w:val="0"/>
        </w:rPr>
        <w:t xml:space="preserve"> </w:t>
      </w:r>
      <w:r w:rsidR="00DF0893" w:rsidRPr="00DF0893">
        <w:rPr>
          <w:rStyle w:val="Kiemels2"/>
          <w:rFonts w:eastAsiaTheme="majorEastAsia"/>
          <w:b w:val="0"/>
          <w:bCs w:val="0"/>
        </w:rPr>
        <w:t>a visegrádi országok átlagáraitól, illetve az európai tőzsdei jegyzésáraktól való eltéréshez.</w:t>
      </w:r>
      <w:r w:rsidR="00467562">
        <w:rPr>
          <w:rStyle w:val="Kiemels2"/>
          <w:rFonts w:eastAsiaTheme="majorEastAsia"/>
          <w:b w:val="0"/>
          <w:bCs w:val="0"/>
        </w:rPr>
        <w:t xml:space="preserve"> </w:t>
      </w:r>
      <w:r w:rsidR="00400512">
        <w:rPr>
          <w:rStyle w:val="Kiemels2"/>
          <w:rFonts w:eastAsiaTheme="majorEastAsia"/>
          <w:b w:val="0"/>
          <w:bCs w:val="0"/>
        </w:rPr>
        <w:t>Ezért a</w:t>
      </w:r>
      <w:r w:rsidR="00467562">
        <w:rPr>
          <w:rStyle w:val="Kiemels2"/>
          <w:rFonts w:eastAsiaTheme="majorEastAsia"/>
          <w:b w:val="0"/>
          <w:bCs w:val="0"/>
        </w:rPr>
        <w:t xml:space="preserve"> </w:t>
      </w:r>
      <w:r w:rsidR="00400512">
        <w:rPr>
          <w:rStyle w:val="Kiemels2"/>
          <w:rFonts w:eastAsiaTheme="majorEastAsia"/>
          <w:b w:val="0"/>
          <w:bCs w:val="0"/>
        </w:rPr>
        <w:t>nemzeti versenyhatóság</w:t>
      </w:r>
      <w:r w:rsidR="00467562">
        <w:rPr>
          <w:rStyle w:val="Kiemels2"/>
          <w:rFonts w:eastAsiaTheme="majorEastAsia"/>
          <w:b w:val="0"/>
          <w:bCs w:val="0"/>
        </w:rPr>
        <w:t xml:space="preserve"> gyorsított ágazati vizsgálatot indított.</w:t>
      </w:r>
    </w:p>
    <w:p w14:paraId="5871DFFA" w14:textId="366026F8" w:rsidR="001B0659" w:rsidRDefault="001B0659" w:rsidP="00DF0893">
      <w:pPr>
        <w:tabs>
          <w:tab w:val="left" w:pos="567"/>
        </w:tabs>
        <w:spacing w:after="120"/>
        <w:ind w:left="0"/>
        <w:rPr>
          <w:rStyle w:val="Kiemels2"/>
          <w:rFonts w:eastAsiaTheme="majorEastAsia"/>
          <w:b w:val="0"/>
          <w:bCs w:val="0"/>
        </w:rPr>
      </w:pPr>
      <w:r w:rsidRPr="001B0659">
        <w:rPr>
          <w:rStyle w:val="Kiemels2"/>
          <w:rFonts w:eastAsiaTheme="majorEastAsia"/>
          <w:b w:val="0"/>
          <w:bCs w:val="0"/>
        </w:rPr>
        <w:t xml:space="preserve">A gyorsított ágazati vizsgálat a versenytörvényben rögzített, piaci problémák feltérképezésére szolgáló eljárás olyan esetekben, amikor a körülmények a verseny torzulására vagy korlátozódására utalhatnak, és sürgős beavatkozás indokolt az adott szektorban. A vizsgálat során a versenyhatóság többek között a piaci szereplőktől összegyűjtött – kötelező válaszadáson alapuló – információk elemzésével tárja fel a verseny </w:t>
      </w:r>
      <w:r w:rsidRPr="001B0659">
        <w:rPr>
          <w:rStyle w:val="Kiemels2"/>
          <w:rFonts w:eastAsiaTheme="majorEastAsia"/>
          <w:b w:val="0"/>
          <w:bCs w:val="0"/>
        </w:rPr>
        <w:lastRenderedPageBreak/>
        <w:t xml:space="preserve">esetleges torzulásának okait, hogy szükség esetén megfelelő lépéseket tehessen. Az információgyűjtés </w:t>
      </w:r>
      <w:proofErr w:type="spellStart"/>
      <w:r w:rsidRPr="001B0659">
        <w:rPr>
          <w:rStyle w:val="Kiemels2"/>
          <w:rFonts w:eastAsiaTheme="majorEastAsia"/>
          <w:b w:val="0"/>
          <w:bCs w:val="0"/>
        </w:rPr>
        <w:t>lezárultát</w:t>
      </w:r>
      <w:proofErr w:type="spellEnd"/>
      <w:r w:rsidRPr="001B0659">
        <w:rPr>
          <w:rStyle w:val="Kiemels2"/>
          <w:rFonts w:eastAsiaTheme="majorEastAsia"/>
          <w:b w:val="0"/>
          <w:bCs w:val="0"/>
        </w:rPr>
        <w:t xml:space="preserve"> és az adatok elemzését követően a GVH nyilvános jelentésben összegzi a gyorsított ágazati vizsgálat eredményeit. Ennek elkészítésére egy hónap áll rendelkezésre, amely indokolt esetben összesen kétszer egy-egy hónappal meghosszabbítható.</w:t>
      </w:r>
    </w:p>
    <w:p w14:paraId="6DBA70B0" w14:textId="037F8826" w:rsidR="00400512" w:rsidRPr="00DF0893" w:rsidRDefault="00400512" w:rsidP="00DF0893">
      <w:pPr>
        <w:tabs>
          <w:tab w:val="left" w:pos="567"/>
        </w:tabs>
        <w:spacing w:after="120"/>
        <w:ind w:left="0"/>
        <w:rPr>
          <w:rStyle w:val="Kiemels2"/>
          <w:rFonts w:eastAsiaTheme="majorEastAsia"/>
          <w:b w:val="0"/>
          <w:bCs w:val="0"/>
        </w:rPr>
      </w:pPr>
      <w:r w:rsidRPr="00B56A7D">
        <w:rPr>
          <w:rStyle w:val="Kiemels2"/>
          <w:rFonts w:eastAsiaTheme="majorEastAsia"/>
          <w:b w:val="0"/>
          <w:bCs w:val="0"/>
        </w:rPr>
        <w:t>A vizsgálat</w:t>
      </w:r>
      <w:r>
        <w:rPr>
          <w:rStyle w:val="Kiemels2"/>
          <w:rFonts w:eastAsiaTheme="majorEastAsia"/>
          <w:b w:val="0"/>
          <w:bCs w:val="0"/>
        </w:rPr>
        <w:t>hoz</w:t>
      </w:r>
      <w:r w:rsidRPr="00B56A7D">
        <w:rPr>
          <w:rStyle w:val="Kiemels2"/>
          <w:rFonts w:eastAsiaTheme="majorEastAsia"/>
          <w:b w:val="0"/>
          <w:bCs w:val="0"/>
        </w:rPr>
        <w:t xml:space="preserve"> a nemzeti versenyhatóság az általa működtetett online </w:t>
      </w:r>
      <w:proofErr w:type="spellStart"/>
      <w:r w:rsidRPr="00B56A7D">
        <w:rPr>
          <w:rStyle w:val="Kiemels2"/>
          <w:rFonts w:eastAsiaTheme="majorEastAsia"/>
          <w:b w:val="0"/>
          <w:bCs w:val="0"/>
        </w:rPr>
        <w:t>Árfigyelő</w:t>
      </w:r>
      <w:proofErr w:type="spellEnd"/>
      <w:r w:rsidRPr="00B56A7D">
        <w:rPr>
          <w:rStyle w:val="Kiemels2"/>
          <w:rFonts w:eastAsiaTheme="majorEastAsia"/>
          <w:b w:val="0"/>
          <w:bCs w:val="0"/>
        </w:rPr>
        <w:t xml:space="preserve"> historikus adatait is felhasználja. A </w:t>
      </w:r>
      <w:hyperlink r:id="rId10" w:history="1">
        <w:r w:rsidRPr="00362598">
          <w:rPr>
            <w:rStyle w:val="Hiperhivatkozs"/>
            <w:rFonts w:eastAsiaTheme="majorEastAsia"/>
          </w:rPr>
          <w:t>www.arfigyelo.gvh.hu</w:t>
        </w:r>
      </w:hyperlink>
      <w:r>
        <w:rPr>
          <w:rStyle w:val="Kiemels2"/>
          <w:rFonts w:eastAsiaTheme="majorEastAsia"/>
          <w:b w:val="0"/>
          <w:bCs w:val="0"/>
        </w:rPr>
        <w:t xml:space="preserve"> </w:t>
      </w:r>
      <w:r w:rsidRPr="00B56A7D">
        <w:rPr>
          <w:rStyle w:val="Kiemels2"/>
          <w:rFonts w:eastAsiaTheme="majorEastAsia"/>
          <w:b w:val="0"/>
          <w:bCs w:val="0"/>
        </w:rPr>
        <w:t>hon</w:t>
      </w:r>
      <w:r>
        <w:rPr>
          <w:rStyle w:val="Kiemels2"/>
          <w:rFonts w:eastAsiaTheme="majorEastAsia"/>
          <w:b w:val="0"/>
          <w:bCs w:val="0"/>
        </w:rPr>
        <w:t>l</w:t>
      </w:r>
      <w:r w:rsidRPr="00B56A7D">
        <w:rPr>
          <w:rStyle w:val="Kiemels2"/>
          <w:rFonts w:eastAsiaTheme="majorEastAsia"/>
          <w:b w:val="0"/>
          <w:bCs w:val="0"/>
        </w:rPr>
        <w:t>apon már 140 termékkategóriában több mint 5000 élelmiszer és háztartási termék napi szinten változó árait lehet nyomon követni hat országos kiskereskedelmi lánc és három országos drogérialánc összesen 1799 üzletében.</w:t>
      </w:r>
      <w:r>
        <w:rPr>
          <w:rStyle w:val="Kiemels2"/>
          <w:rFonts w:eastAsiaTheme="majorEastAsia"/>
          <w:b w:val="0"/>
          <w:bCs w:val="0"/>
        </w:rPr>
        <w:t xml:space="preserve"> </w:t>
      </w:r>
      <w:r w:rsidRPr="00B56A7D">
        <w:rPr>
          <w:rStyle w:val="Kiemels2"/>
          <w:rFonts w:eastAsiaTheme="majorEastAsia"/>
          <w:b w:val="0"/>
          <w:bCs w:val="0"/>
        </w:rPr>
        <w:t>A GVH 2025-ben összesen négy gyorsított ágazati vizsgálatot végzett el</w:t>
      </w:r>
      <w:r>
        <w:rPr>
          <w:rStyle w:val="Kiemels2"/>
          <w:rFonts w:eastAsiaTheme="majorEastAsia"/>
          <w:b w:val="0"/>
          <w:bCs w:val="0"/>
        </w:rPr>
        <w:t>, ebből</w:t>
      </w:r>
      <w:r w:rsidRPr="00B56A7D">
        <w:rPr>
          <w:rStyle w:val="Kiemels2"/>
          <w:rFonts w:eastAsiaTheme="majorEastAsia"/>
          <w:b w:val="0"/>
          <w:bCs w:val="0"/>
        </w:rPr>
        <w:t xml:space="preserve"> </w:t>
      </w:r>
      <w:hyperlink r:id="rId11" w:history="1">
        <w:r w:rsidRPr="00B56A7D">
          <w:rPr>
            <w:rStyle w:val="Hiperhivatkozs"/>
            <w:rFonts w:eastAsiaTheme="majorEastAsia"/>
          </w:rPr>
          <w:t>kettőt az élelmiszer-kereskedelem területén a hazai tej</w:t>
        </w:r>
        <w:r>
          <w:rPr>
            <w:rStyle w:val="Hiperhivatkozs"/>
            <w:rFonts w:eastAsiaTheme="majorEastAsia"/>
          </w:rPr>
          <w:t>, illetve</w:t>
        </w:r>
        <w:r w:rsidRPr="00B56A7D">
          <w:rPr>
            <w:rStyle w:val="Hiperhivatkozs"/>
            <w:rFonts w:eastAsiaTheme="majorEastAsia"/>
          </w:rPr>
          <w:t xml:space="preserve"> tojáspiacon</w:t>
        </w:r>
      </w:hyperlink>
      <w:r>
        <w:rPr>
          <w:rStyle w:val="Kiemels2"/>
          <w:rFonts w:eastAsiaTheme="majorEastAsia"/>
          <w:b w:val="0"/>
          <w:bCs w:val="0"/>
        </w:rPr>
        <w:t>.</w:t>
      </w:r>
    </w:p>
    <w:bookmarkEnd w:id="1"/>
    <w:p w14:paraId="45733F46" w14:textId="25CE74CB" w:rsidR="005F4F3F" w:rsidRPr="00314723" w:rsidRDefault="005F4F3F" w:rsidP="00DF0893">
      <w:pPr>
        <w:spacing w:after="120"/>
        <w:ind w:left="0"/>
        <w:rPr>
          <w:b/>
          <w:bCs/>
        </w:rPr>
      </w:pPr>
      <w:r w:rsidRPr="00314723">
        <w:rPr>
          <w:b/>
          <w:bCs/>
        </w:rPr>
        <w:t xml:space="preserve">GVH </w:t>
      </w:r>
      <w:r w:rsidR="00016D76">
        <w:rPr>
          <w:b/>
          <w:bCs/>
        </w:rPr>
        <w:t>Kommunikáció</w:t>
      </w:r>
    </w:p>
    <w:p w14:paraId="714F28A8" w14:textId="77777777" w:rsidR="005F4F3F" w:rsidRPr="00314723" w:rsidRDefault="005F4F3F" w:rsidP="004129E4">
      <w:pPr>
        <w:spacing w:after="0"/>
        <w:ind w:left="0"/>
      </w:pPr>
      <w:r w:rsidRPr="00314723">
        <w:t>További információ:</w:t>
      </w:r>
    </w:p>
    <w:p w14:paraId="4198A9CE" w14:textId="15BC4607" w:rsidR="002A426E" w:rsidRDefault="005F4F3F" w:rsidP="004129E4">
      <w:pPr>
        <w:spacing w:after="0"/>
        <w:ind w:left="0"/>
      </w:pPr>
      <w:r w:rsidRPr="00314723">
        <w:t>Horváth Bálint, kommunikációs vezető +36 20 238 6939</w:t>
      </w:r>
    </w:p>
    <w:sectPr w:rsidR="002A426E" w:rsidSect="004129E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07" w:right="907" w:bottom="907" w:left="90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911C" w14:textId="77777777" w:rsidR="004C3CD5" w:rsidRDefault="004C3CD5">
      <w:pPr>
        <w:spacing w:after="0" w:line="240" w:lineRule="auto"/>
      </w:pPr>
      <w:r>
        <w:separator/>
      </w:r>
    </w:p>
  </w:endnote>
  <w:endnote w:type="continuationSeparator" w:id="0">
    <w:p w14:paraId="339BE05C" w14:textId="77777777" w:rsidR="004C3CD5" w:rsidRDefault="004C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C2FF" w14:textId="7E6746D3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016D76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DC69" w14:textId="77777777" w:rsidR="004C3CD5" w:rsidRDefault="004C3CD5">
      <w:pPr>
        <w:spacing w:after="0" w:line="240" w:lineRule="auto"/>
      </w:pPr>
      <w:r>
        <w:separator/>
      </w:r>
    </w:p>
  </w:footnote>
  <w:footnote w:type="continuationSeparator" w:id="0">
    <w:p w14:paraId="6797C864" w14:textId="77777777" w:rsidR="004C3CD5" w:rsidRDefault="004C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1"/>
  </w:num>
  <w:num w:numId="2" w16cid:durableId="1174959768">
    <w:abstractNumId w:val="2"/>
  </w:num>
  <w:num w:numId="3" w16cid:durableId="88572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2DFE"/>
    <w:rsid w:val="00010AF1"/>
    <w:rsid w:val="0001164D"/>
    <w:rsid w:val="00011AF6"/>
    <w:rsid w:val="00014ECD"/>
    <w:rsid w:val="00016D76"/>
    <w:rsid w:val="00017EB5"/>
    <w:rsid w:val="00025546"/>
    <w:rsid w:val="00025D9D"/>
    <w:rsid w:val="00027AC5"/>
    <w:rsid w:val="000432EC"/>
    <w:rsid w:val="000502B4"/>
    <w:rsid w:val="00050C5C"/>
    <w:rsid w:val="00055453"/>
    <w:rsid w:val="00057D8B"/>
    <w:rsid w:val="00060528"/>
    <w:rsid w:val="0006093C"/>
    <w:rsid w:val="0007220F"/>
    <w:rsid w:val="00080D0A"/>
    <w:rsid w:val="00092905"/>
    <w:rsid w:val="000C7EC0"/>
    <w:rsid w:val="000D0161"/>
    <w:rsid w:val="000E4B77"/>
    <w:rsid w:val="000E7621"/>
    <w:rsid w:val="000F61B5"/>
    <w:rsid w:val="00134827"/>
    <w:rsid w:val="00170720"/>
    <w:rsid w:val="00180BD3"/>
    <w:rsid w:val="00183194"/>
    <w:rsid w:val="001A32A4"/>
    <w:rsid w:val="001A5996"/>
    <w:rsid w:val="001B0659"/>
    <w:rsid w:val="001C263B"/>
    <w:rsid w:val="001C6F96"/>
    <w:rsid w:val="001D2926"/>
    <w:rsid w:val="001D561A"/>
    <w:rsid w:val="001E227E"/>
    <w:rsid w:val="00202D48"/>
    <w:rsid w:val="00206DF4"/>
    <w:rsid w:val="00221268"/>
    <w:rsid w:val="00225C60"/>
    <w:rsid w:val="00230023"/>
    <w:rsid w:val="002300B2"/>
    <w:rsid w:val="00230286"/>
    <w:rsid w:val="002311BF"/>
    <w:rsid w:val="00233F23"/>
    <w:rsid w:val="0025537B"/>
    <w:rsid w:val="002574F3"/>
    <w:rsid w:val="002734A3"/>
    <w:rsid w:val="002756CF"/>
    <w:rsid w:val="00292199"/>
    <w:rsid w:val="00293E97"/>
    <w:rsid w:val="002A0E05"/>
    <w:rsid w:val="002A426E"/>
    <w:rsid w:val="002B508F"/>
    <w:rsid w:val="002B5D44"/>
    <w:rsid w:val="002B7F2B"/>
    <w:rsid w:val="002C122C"/>
    <w:rsid w:val="002C712D"/>
    <w:rsid w:val="00321653"/>
    <w:rsid w:val="003303E4"/>
    <w:rsid w:val="00333AA6"/>
    <w:rsid w:val="00333E7D"/>
    <w:rsid w:val="00344131"/>
    <w:rsid w:val="00351FB1"/>
    <w:rsid w:val="00356D88"/>
    <w:rsid w:val="00361831"/>
    <w:rsid w:val="00382160"/>
    <w:rsid w:val="003946C2"/>
    <w:rsid w:val="00395276"/>
    <w:rsid w:val="003B7EBA"/>
    <w:rsid w:val="003C30B9"/>
    <w:rsid w:val="003C51E4"/>
    <w:rsid w:val="003E0148"/>
    <w:rsid w:val="003E4DCA"/>
    <w:rsid w:val="003E675C"/>
    <w:rsid w:val="00400512"/>
    <w:rsid w:val="00401C7C"/>
    <w:rsid w:val="004129E4"/>
    <w:rsid w:val="00424B8A"/>
    <w:rsid w:val="00425C3A"/>
    <w:rsid w:val="00430D05"/>
    <w:rsid w:val="004545F8"/>
    <w:rsid w:val="00454D0A"/>
    <w:rsid w:val="00467562"/>
    <w:rsid w:val="00481BDE"/>
    <w:rsid w:val="00485F3F"/>
    <w:rsid w:val="00491BFC"/>
    <w:rsid w:val="00492DFC"/>
    <w:rsid w:val="0049629F"/>
    <w:rsid w:val="00496369"/>
    <w:rsid w:val="00497F9C"/>
    <w:rsid w:val="004A4246"/>
    <w:rsid w:val="004A664B"/>
    <w:rsid w:val="004B1EC2"/>
    <w:rsid w:val="004C0406"/>
    <w:rsid w:val="004C1A81"/>
    <w:rsid w:val="004C2DF9"/>
    <w:rsid w:val="004C3CD5"/>
    <w:rsid w:val="004E3890"/>
    <w:rsid w:val="00515173"/>
    <w:rsid w:val="00523A87"/>
    <w:rsid w:val="00545903"/>
    <w:rsid w:val="00550820"/>
    <w:rsid w:val="005566B7"/>
    <w:rsid w:val="00574344"/>
    <w:rsid w:val="005A068C"/>
    <w:rsid w:val="005A20C2"/>
    <w:rsid w:val="005A384B"/>
    <w:rsid w:val="005A4856"/>
    <w:rsid w:val="005B31C0"/>
    <w:rsid w:val="005C5A33"/>
    <w:rsid w:val="005D0788"/>
    <w:rsid w:val="005D7DF1"/>
    <w:rsid w:val="005E13E7"/>
    <w:rsid w:val="005E7373"/>
    <w:rsid w:val="005F4F3F"/>
    <w:rsid w:val="006037EF"/>
    <w:rsid w:val="00605725"/>
    <w:rsid w:val="00615C7D"/>
    <w:rsid w:val="006256C4"/>
    <w:rsid w:val="00625E60"/>
    <w:rsid w:val="00626E97"/>
    <w:rsid w:val="0063452B"/>
    <w:rsid w:val="006539E0"/>
    <w:rsid w:val="00672165"/>
    <w:rsid w:val="00694570"/>
    <w:rsid w:val="006C5A26"/>
    <w:rsid w:val="006C7EAF"/>
    <w:rsid w:val="006D0F58"/>
    <w:rsid w:val="006D69E6"/>
    <w:rsid w:val="006D7040"/>
    <w:rsid w:val="006D7D61"/>
    <w:rsid w:val="00713098"/>
    <w:rsid w:val="007211D2"/>
    <w:rsid w:val="007232F7"/>
    <w:rsid w:val="00736F52"/>
    <w:rsid w:val="0077091C"/>
    <w:rsid w:val="00772645"/>
    <w:rsid w:val="00781D29"/>
    <w:rsid w:val="007863D5"/>
    <w:rsid w:val="00787303"/>
    <w:rsid w:val="00795618"/>
    <w:rsid w:val="007C3D7E"/>
    <w:rsid w:val="007C504C"/>
    <w:rsid w:val="007C7270"/>
    <w:rsid w:val="007E33B9"/>
    <w:rsid w:val="007F49A6"/>
    <w:rsid w:val="007F6DDC"/>
    <w:rsid w:val="008065BC"/>
    <w:rsid w:val="00821F1C"/>
    <w:rsid w:val="0082317E"/>
    <w:rsid w:val="008302EE"/>
    <w:rsid w:val="00835621"/>
    <w:rsid w:val="00835934"/>
    <w:rsid w:val="00847363"/>
    <w:rsid w:val="00861DEF"/>
    <w:rsid w:val="00874C88"/>
    <w:rsid w:val="008857DA"/>
    <w:rsid w:val="00886B5A"/>
    <w:rsid w:val="00890898"/>
    <w:rsid w:val="008927DB"/>
    <w:rsid w:val="008A0CAC"/>
    <w:rsid w:val="008A4731"/>
    <w:rsid w:val="008B3221"/>
    <w:rsid w:val="008B64CF"/>
    <w:rsid w:val="008C44CC"/>
    <w:rsid w:val="008D1DAB"/>
    <w:rsid w:val="008E272C"/>
    <w:rsid w:val="008E34D7"/>
    <w:rsid w:val="008E6757"/>
    <w:rsid w:val="00903E31"/>
    <w:rsid w:val="00904062"/>
    <w:rsid w:val="00905BBD"/>
    <w:rsid w:val="00916F81"/>
    <w:rsid w:val="0092208D"/>
    <w:rsid w:val="00927A0A"/>
    <w:rsid w:val="00933AD1"/>
    <w:rsid w:val="00972CA9"/>
    <w:rsid w:val="0097359E"/>
    <w:rsid w:val="009807A8"/>
    <w:rsid w:val="00981225"/>
    <w:rsid w:val="00987D35"/>
    <w:rsid w:val="00990119"/>
    <w:rsid w:val="00990458"/>
    <w:rsid w:val="009A782B"/>
    <w:rsid w:val="009D3093"/>
    <w:rsid w:val="009E435B"/>
    <w:rsid w:val="009E79B3"/>
    <w:rsid w:val="009F2C39"/>
    <w:rsid w:val="00A06E05"/>
    <w:rsid w:val="00A14019"/>
    <w:rsid w:val="00A16002"/>
    <w:rsid w:val="00A475C4"/>
    <w:rsid w:val="00A5471B"/>
    <w:rsid w:val="00A559C2"/>
    <w:rsid w:val="00A610DF"/>
    <w:rsid w:val="00A61C92"/>
    <w:rsid w:val="00A671EC"/>
    <w:rsid w:val="00A7026D"/>
    <w:rsid w:val="00A715B2"/>
    <w:rsid w:val="00A751D9"/>
    <w:rsid w:val="00A814BE"/>
    <w:rsid w:val="00A874BB"/>
    <w:rsid w:val="00A928D5"/>
    <w:rsid w:val="00A96E66"/>
    <w:rsid w:val="00AA6196"/>
    <w:rsid w:val="00AB2016"/>
    <w:rsid w:val="00AB5D6E"/>
    <w:rsid w:val="00AE0C35"/>
    <w:rsid w:val="00AE40D6"/>
    <w:rsid w:val="00AF20CE"/>
    <w:rsid w:val="00AF45D3"/>
    <w:rsid w:val="00B02F46"/>
    <w:rsid w:val="00B056E2"/>
    <w:rsid w:val="00B070E2"/>
    <w:rsid w:val="00B0747E"/>
    <w:rsid w:val="00B3311F"/>
    <w:rsid w:val="00B35B5C"/>
    <w:rsid w:val="00B40517"/>
    <w:rsid w:val="00B56A7D"/>
    <w:rsid w:val="00B6413F"/>
    <w:rsid w:val="00B64C00"/>
    <w:rsid w:val="00B70E7E"/>
    <w:rsid w:val="00B90563"/>
    <w:rsid w:val="00B97771"/>
    <w:rsid w:val="00BA04D3"/>
    <w:rsid w:val="00BB087E"/>
    <w:rsid w:val="00BB116D"/>
    <w:rsid w:val="00BC3402"/>
    <w:rsid w:val="00BD7179"/>
    <w:rsid w:val="00C07C0E"/>
    <w:rsid w:val="00C248A0"/>
    <w:rsid w:val="00C25E2F"/>
    <w:rsid w:val="00C540F9"/>
    <w:rsid w:val="00C55449"/>
    <w:rsid w:val="00C56CD6"/>
    <w:rsid w:val="00C61673"/>
    <w:rsid w:val="00C64636"/>
    <w:rsid w:val="00C82749"/>
    <w:rsid w:val="00C836BD"/>
    <w:rsid w:val="00C87708"/>
    <w:rsid w:val="00C93CE7"/>
    <w:rsid w:val="00CA2EBA"/>
    <w:rsid w:val="00CA56C7"/>
    <w:rsid w:val="00CD63D8"/>
    <w:rsid w:val="00CE27A3"/>
    <w:rsid w:val="00CF0B45"/>
    <w:rsid w:val="00CF1F2C"/>
    <w:rsid w:val="00D12884"/>
    <w:rsid w:val="00D31443"/>
    <w:rsid w:val="00D84BD0"/>
    <w:rsid w:val="00D879A5"/>
    <w:rsid w:val="00D900B8"/>
    <w:rsid w:val="00D949AD"/>
    <w:rsid w:val="00D960D0"/>
    <w:rsid w:val="00DB5643"/>
    <w:rsid w:val="00DC389D"/>
    <w:rsid w:val="00DC6E83"/>
    <w:rsid w:val="00DC752D"/>
    <w:rsid w:val="00DD5F0A"/>
    <w:rsid w:val="00DF0893"/>
    <w:rsid w:val="00DF37B3"/>
    <w:rsid w:val="00E044AF"/>
    <w:rsid w:val="00E326A5"/>
    <w:rsid w:val="00E36C8E"/>
    <w:rsid w:val="00E45607"/>
    <w:rsid w:val="00E50100"/>
    <w:rsid w:val="00E665BD"/>
    <w:rsid w:val="00E7057C"/>
    <w:rsid w:val="00E87D38"/>
    <w:rsid w:val="00EA233F"/>
    <w:rsid w:val="00EA31B0"/>
    <w:rsid w:val="00EA7FA0"/>
    <w:rsid w:val="00EC4637"/>
    <w:rsid w:val="00F0164C"/>
    <w:rsid w:val="00F04182"/>
    <w:rsid w:val="00F04C25"/>
    <w:rsid w:val="00F13997"/>
    <w:rsid w:val="00F155F8"/>
    <w:rsid w:val="00F22CD6"/>
    <w:rsid w:val="00F32D9A"/>
    <w:rsid w:val="00F4323C"/>
    <w:rsid w:val="00F447C8"/>
    <w:rsid w:val="00F53B38"/>
    <w:rsid w:val="00F54A4A"/>
    <w:rsid w:val="00F8356C"/>
    <w:rsid w:val="00F963C8"/>
    <w:rsid w:val="00FA0B2A"/>
    <w:rsid w:val="00FA6906"/>
    <w:rsid w:val="00FC5159"/>
    <w:rsid w:val="00FD1928"/>
    <w:rsid w:val="00FD31ED"/>
    <w:rsid w:val="00FE5D23"/>
    <w:rsid w:val="00FF0DCC"/>
    <w:rsid w:val="00FF12BA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4F3F"/>
    <w:rPr>
      <w:b/>
      <w:bCs/>
    </w:rPr>
  </w:style>
  <w:style w:type="character" w:customStyle="1" w:styleId="rynqvb">
    <w:name w:val="rynqvb"/>
    <w:basedOn w:val="Bekezdsalapbettpusa"/>
    <w:rsid w:val="00C8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5-os-sajtokozlemenyek/a-verseny-es-az-arstabilitas-celjaval-egyesiti-eroit-a-gvh-es-az-mnb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5-os-sajtokozlemenyek/ezek-a-tenyezok-befolyasoltak-az-arakat-a-tej--es-a-tojaspiac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rfigyelo.gvh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5-os-sajtokozlemenyek/importorok-arazasi-gyakorlata-a-gvh-fokuszaba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4</cp:revision>
  <dcterms:created xsi:type="dcterms:W3CDTF">2026-01-21T17:53:00Z</dcterms:created>
  <dcterms:modified xsi:type="dcterms:W3CDTF">2026-01-22T12:47:00Z</dcterms:modified>
</cp:coreProperties>
</file>