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47" w:rsidRDefault="003E61EA" w:rsidP="0005186D">
      <w:pPr>
        <w:spacing w:after="120" w:line="264" w:lineRule="auto"/>
        <w:rPr>
          <w:b/>
          <w:bCs/>
          <w:sz w:val="28"/>
          <w:szCs w:val="28"/>
        </w:rPr>
      </w:pPr>
      <w:bookmarkStart w:id="0" w:name="_Hlk147755103"/>
      <w:bookmarkStart w:id="1" w:name="_Hlk150499558"/>
      <w:r>
        <w:rPr>
          <w:b/>
          <w:bCs/>
          <w:sz w:val="28"/>
          <w:szCs w:val="28"/>
        </w:rPr>
        <w:t xml:space="preserve">Új világ jön </w:t>
      </w:r>
      <w:r w:rsidR="002C2347">
        <w:rPr>
          <w:b/>
          <w:bCs/>
          <w:sz w:val="28"/>
          <w:szCs w:val="28"/>
        </w:rPr>
        <w:t>a PET-pala</w:t>
      </w:r>
      <w:r w:rsidR="009C43CB">
        <w:rPr>
          <w:b/>
          <w:bCs/>
          <w:sz w:val="28"/>
          <w:szCs w:val="28"/>
        </w:rPr>
        <w:t xml:space="preserve">ckokkal kapcsolatos </w:t>
      </w:r>
      <w:r w:rsidR="00B748AB">
        <w:rPr>
          <w:b/>
          <w:bCs/>
          <w:sz w:val="28"/>
          <w:szCs w:val="28"/>
        </w:rPr>
        <w:t>fenntarthatóság terén a GVH-eljárásainak is köszönhetően</w:t>
      </w:r>
    </w:p>
    <w:p w:rsidR="002C2347" w:rsidRPr="00851CD9" w:rsidRDefault="009C43CB" w:rsidP="0005186D">
      <w:pPr>
        <w:spacing w:after="120" w:line="264" w:lineRule="auto"/>
        <w:rPr>
          <w:b/>
          <w:bCs/>
          <w:i/>
          <w:iCs/>
        </w:rPr>
      </w:pPr>
      <w:r w:rsidRPr="00851CD9">
        <w:rPr>
          <w:b/>
          <w:bCs/>
          <w:i/>
          <w:iCs/>
        </w:rPr>
        <w:t>A</w:t>
      </w:r>
      <w:r w:rsidR="004E6C15">
        <w:rPr>
          <w:b/>
          <w:bCs/>
          <w:i/>
          <w:iCs/>
        </w:rPr>
        <w:t xml:space="preserve"> legnagyobb palackozó</w:t>
      </w:r>
      <w:r w:rsidRPr="00851CD9">
        <w:rPr>
          <w:b/>
          <w:bCs/>
          <w:i/>
          <w:iCs/>
        </w:rPr>
        <w:t xml:space="preserve"> cégek</w:t>
      </w:r>
      <w:r w:rsidR="00851CD9" w:rsidRPr="00851CD9">
        <w:rPr>
          <w:b/>
          <w:bCs/>
          <w:i/>
          <w:iCs/>
        </w:rPr>
        <w:t xml:space="preserve"> olyan vállalásokat tettek, amelyek jelentős hatással lehetnek a </w:t>
      </w:r>
      <w:r w:rsidR="003E61EA">
        <w:rPr>
          <w:b/>
          <w:bCs/>
          <w:i/>
          <w:iCs/>
        </w:rPr>
        <w:t>PET-</w:t>
      </w:r>
      <w:r w:rsidR="00851CD9" w:rsidRPr="00851CD9">
        <w:rPr>
          <w:b/>
          <w:bCs/>
          <w:i/>
          <w:iCs/>
        </w:rPr>
        <w:t>palackokkal kapcsolatos társadalmi tudatosságra</w:t>
      </w:r>
    </w:p>
    <w:p w:rsidR="00236589" w:rsidRDefault="005F4F3F" w:rsidP="0005186D">
      <w:pPr>
        <w:tabs>
          <w:tab w:val="left" w:pos="567"/>
        </w:tabs>
        <w:spacing w:after="120" w:line="264" w:lineRule="auto"/>
        <w:rPr>
          <w:b/>
        </w:rPr>
      </w:pPr>
      <w:r w:rsidRPr="00314723">
        <w:rPr>
          <w:b/>
        </w:rPr>
        <w:t>Budapest, 202</w:t>
      </w:r>
      <w:r w:rsidR="00615C7D">
        <w:rPr>
          <w:b/>
        </w:rPr>
        <w:t>6</w:t>
      </w:r>
      <w:r w:rsidRPr="00314723">
        <w:rPr>
          <w:b/>
        </w:rPr>
        <w:t xml:space="preserve">. </w:t>
      </w:r>
      <w:r w:rsidR="009D1F4E">
        <w:rPr>
          <w:b/>
        </w:rPr>
        <w:t>augusztus</w:t>
      </w:r>
      <w:r w:rsidR="00E22894">
        <w:rPr>
          <w:b/>
        </w:rPr>
        <w:t xml:space="preserve"> 1</w:t>
      </w:r>
      <w:r w:rsidR="00920445">
        <w:rPr>
          <w:b/>
        </w:rPr>
        <w:t>8</w:t>
      </w:r>
      <w:r w:rsidR="00236589">
        <w:rPr>
          <w:b/>
        </w:rPr>
        <w:t>.</w:t>
      </w:r>
      <w:r w:rsidRPr="00314723">
        <w:rPr>
          <w:b/>
        </w:rPr>
        <w:t xml:space="preserve"> –</w:t>
      </w:r>
      <w:bookmarkEnd w:id="0"/>
      <w:r w:rsidR="00B748AB">
        <w:rPr>
          <w:b/>
        </w:rPr>
        <w:t>Komoly és előremutató vállalásokat tettek a hazai ásványvíz</w:t>
      </w:r>
      <w:r w:rsidR="004E6C15">
        <w:rPr>
          <w:b/>
        </w:rPr>
        <w:t>-</w:t>
      </w:r>
      <w:r w:rsidR="00B748AB">
        <w:rPr>
          <w:b/>
        </w:rPr>
        <w:t xml:space="preserve"> és üdítőital palack</w:t>
      </w:r>
      <w:r w:rsidR="004E6C15">
        <w:rPr>
          <w:b/>
        </w:rPr>
        <w:t xml:space="preserve">ozással foglalkozó cégek a Gazdasági Versenyhivatal (GVH) 2026-ban lezárt eljárásainak eredményeként. A vizsgált vállalkozások által meghatározott fogyasztói edukációs intézkedések, illetve társadalmi kampányok jelentős hatással lehetnek a fenntarthatósággal kapcsolatos kereskedelmi kommunikációra, társadalmi szemléletre, illetve a PET-palackok magyarországi újrahasznosítására is. </w:t>
      </w:r>
      <w:r w:rsidR="006A441B">
        <w:rPr>
          <w:b/>
        </w:rPr>
        <w:t xml:space="preserve">A GVH </w:t>
      </w:r>
      <w:r w:rsidR="004E6C15">
        <w:rPr>
          <w:b/>
        </w:rPr>
        <w:t xml:space="preserve">az érintett cégek kötelezően előírt vállalásainak végrehajtását </w:t>
      </w:r>
      <w:r w:rsidR="006A441B">
        <w:rPr>
          <w:b/>
        </w:rPr>
        <w:t>következetesen ellenőrzi majd.</w:t>
      </w:r>
    </w:p>
    <w:p w:rsidR="002C2347" w:rsidRPr="003E61EA" w:rsidRDefault="003E61EA" w:rsidP="0005186D">
      <w:pPr>
        <w:tabs>
          <w:tab w:val="left" w:pos="567"/>
        </w:tabs>
        <w:spacing w:after="120" w:line="264" w:lineRule="auto"/>
        <w:rPr>
          <w:bCs/>
        </w:rPr>
      </w:pPr>
      <w:r>
        <w:rPr>
          <w:bCs/>
        </w:rPr>
        <w:t>A műanyagból készült, úgynevezett PET</w:t>
      </w:r>
      <w:r w:rsidR="00B748AB">
        <w:rPr>
          <w:bCs/>
        </w:rPr>
        <w:t xml:space="preserve"> (</w:t>
      </w:r>
      <w:r w:rsidR="00B748AB" w:rsidRPr="00B748AB">
        <w:rPr>
          <w:bCs/>
        </w:rPr>
        <w:t>polietilén-tereftalát</w:t>
      </w:r>
      <w:r w:rsidR="00B748AB">
        <w:rPr>
          <w:bCs/>
        </w:rPr>
        <w:t>)</w:t>
      </w:r>
      <w:r>
        <w:rPr>
          <w:bCs/>
        </w:rPr>
        <w:t xml:space="preserve">-palackok használata rendkívül nagy környezeti kihívást jelent globálisan. </w:t>
      </w:r>
      <w:hyperlink r:id="rId8" w:history="1">
        <w:r w:rsidR="00B748AB" w:rsidRPr="00B748AB">
          <w:rPr>
            <w:rStyle w:val="Hiperhivatkozs"/>
            <w:bCs/>
          </w:rPr>
          <w:t>2025-től a Magyarországon forgalomba kerülő PET-palackoknak is legalább 25 százalékban újrahasznosított műanyagot (rPET) kell tartalmazniuk</w:t>
        </w:r>
      </w:hyperlink>
      <w:r w:rsidR="00B748AB" w:rsidRPr="00B748AB">
        <w:rPr>
          <w:bCs/>
        </w:rPr>
        <w:t>. Az intézkedés az Európai Unió egyszer használatos műanyagokra vonatkozó irányelve alapján lép</w:t>
      </w:r>
      <w:r w:rsidR="00B748AB">
        <w:rPr>
          <w:bCs/>
        </w:rPr>
        <w:t>ett</w:t>
      </w:r>
      <w:r w:rsidR="00B748AB" w:rsidRPr="00B748AB">
        <w:rPr>
          <w:bCs/>
        </w:rPr>
        <w:t xml:space="preserve"> életbe.Az Európai Unió tervei szerint 2030-ra a PET-palackok újrahasznosított anyagtartalmának el kell érnie a 30 százalékot, hosszú távon pedig az 50 százalékot.</w:t>
      </w:r>
    </w:p>
    <w:p w:rsidR="0005186D" w:rsidRDefault="00B748AB" w:rsidP="0005186D">
      <w:pPr>
        <w:tabs>
          <w:tab w:val="left" w:pos="567"/>
        </w:tabs>
        <w:spacing w:after="120" w:line="264" w:lineRule="auto"/>
      </w:pPr>
      <w:r w:rsidRPr="0005186D">
        <w:rPr>
          <w:b/>
          <w:bCs/>
        </w:rPr>
        <w:t>Mindezek alapján jelentősen felértékelődött a PET-palackok újrahasznosítása, illetve az ezzel kapcsolatos környezetvédelmi és fenntarthatósági állítások. Ezért a</w:t>
      </w:r>
      <w:r w:rsidR="002C2347" w:rsidRPr="0005186D">
        <w:rPr>
          <w:b/>
          <w:bCs/>
        </w:rPr>
        <w:t xml:space="preserve"> Gazdasági Versenyhivatal (GVH) </w:t>
      </w:r>
      <w:hyperlink r:id="rId9" w:history="1">
        <w:r w:rsidR="002C2347" w:rsidRPr="0005186D">
          <w:rPr>
            <w:rStyle w:val="Hiperhivatkozs"/>
            <w:b/>
            <w:bCs/>
          </w:rPr>
          <w:t>2024 nyarán egyszerre három versenyfelügyeleti eljárást indított PET-palackokkal kapcsolatos zöld állítások miatt</w:t>
        </w:r>
      </w:hyperlink>
      <w:r w:rsidR="002C2347" w:rsidRPr="0005186D">
        <w:rPr>
          <w:b/>
          <w:bCs/>
        </w:rPr>
        <w:t>.</w:t>
      </w:r>
    </w:p>
    <w:p w:rsidR="002C2347" w:rsidRDefault="002C2347" w:rsidP="0005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120" w:line="264" w:lineRule="auto"/>
      </w:pPr>
      <w:r w:rsidRPr="009C43CB">
        <w:t xml:space="preserve">A GVH gyanúja szerint az érintett vállalkozások </w:t>
      </w:r>
      <w:r w:rsidR="009C43CB" w:rsidRPr="009C43CB">
        <w:t>(</w:t>
      </w:r>
      <w:r w:rsidR="009C43CB" w:rsidRPr="00D0237F">
        <w:rPr>
          <w:b/>
          <w:bCs/>
        </w:rPr>
        <w:t>1.</w:t>
      </w:r>
      <w:r w:rsidR="009C43CB" w:rsidRPr="00223E04">
        <w:rPr>
          <w:b/>
          <w:bCs/>
        </w:rPr>
        <w:t>FonteViva Kft. és MOL Nyrt., 2. Szentkirályi Magyarország Kft., 3. Coca-Cola HBC Magyarország Kft., Coca-Cola Magyarország Szolgáltató Kft. és a The Coca Cola Company</w:t>
      </w:r>
      <w:r w:rsidR="009C43CB">
        <w:t xml:space="preserve">) </w:t>
      </w:r>
      <w:r w:rsidRPr="002C2347">
        <w:t>az ásványvizes és üdítőitalos palackok címkéin feltüntetett, és egyéb kereskedelmi kommunikációjukban alkalmazott, a termék környezeti hatásaira vonatkozó állításokkal valószínűsíthetően megtévesz</w:t>
      </w:r>
      <w:r w:rsidR="00B748AB">
        <w:t>thették</w:t>
      </w:r>
      <w:r w:rsidRPr="002C2347">
        <w:t xml:space="preserve"> a fogyasztókat.</w:t>
      </w:r>
    </w:p>
    <w:p w:rsidR="009C43CB" w:rsidRPr="004E6C15" w:rsidRDefault="009C43CB" w:rsidP="0005186D">
      <w:pPr>
        <w:tabs>
          <w:tab w:val="left" w:pos="567"/>
        </w:tabs>
        <w:spacing w:after="120" w:line="264" w:lineRule="auto"/>
        <w:rPr>
          <w:b/>
          <w:bCs/>
        </w:rPr>
      </w:pPr>
      <w:r>
        <w:t>Az eljárások során a GVH</w:t>
      </w:r>
      <w:r w:rsidR="00920445">
        <w:t xml:space="preserve"> Versenytanácsa</w:t>
      </w:r>
      <w:r>
        <w:t xml:space="preserve"> egyik cég esetében sem állapított meg jogsértést, ugyanakkor több aggályt is megfogalmazott az érintett vállalkozások kereskedelmi kommunikációjával kapcsolatban. Ezek hatására </w:t>
      </w:r>
      <w:r w:rsidRPr="004E6C15">
        <w:rPr>
          <w:b/>
          <w:bCs/>
        </w:rPr>
        <w:t>a cégek jelentős vállalásokat tettek, amelyek végrehajtása nem csak a vállalkozások belső megfelelését és jogszerű kommunikációját biztosítja, hanem a magyar fogyasztók általános tájékozottságát is támogatja a palackozott italtermékek környezeti hatásait illetően.</w:t>
      </w:r>
    </w:p>
    <w:p w:rsidR="00920445" w:rsidRPr="004E6C15" w:rsidRDefault="00411963" w:rsidP="0005186D">
      <w:pPr>
        <w:pStyle w:val="NormlWeb"/>
        <w:numPr>
          <w:ilvl w:val="0"/>
          <w:numId w:val="7"/>
        </w:numPr>
        <w:spacing w:after="120" w:line="264" w:lineRule="auto"/>
        <w:rPr>
          <w:b/>
          <w:bCs/>
        </w:rPr>
      </w:pPr>
      <w:hyperlink r:id="rId10" w:history="1">
        <w:r w:rsidR="00920445" w:rsidRPr="00920445">
          <w:rPr>
            <w:rStyle w:val="Hiperhivatkozs"/>
            <w:rFonts w:eastAsiaTheme="majorEastAsia"/>
          </w:rPr>
          <w:t xml:space="preserve">A FonteViva Kft. </w:t>
        </w:r>
        <w:r w:rsidR="00D82DF7">
          <w:rPr>
            <w:rStyle w:val="Hiperhivatkozs"/>
            <w:rFonts w:eastAsiaTheme="majorEastAsia"/>
          </w:rPr>
          <w:t xml:space="preserve">és </w:t>
        </w:r>
        <w:r w:rsidR="00920445" w:rsidRPr="00920445">
          <w:rPr>
            <w:rStyle w:val="Hiperhivatkozs"/>
            <w:rFonts w:eastAsiaTheme="majorEastAsia"/>
          </w:rPr>
          <w:t>a céget 2018 óta tulajdonló MOL Nyrt. komplex vállaláscsomagot ajánlottak fel a GVH Versenytanácsának</w:t>
        </w:r>
      </w:hyperlink>
      <w:r w:rsidR="00920445" w:rsidRPr="00920445">
        <w:rPr>
          <w:rStyle w:val="Kiemels2"/>
          <w:rFonts w:eastAsiaTheme="majorEastAsia"/>
          <w:b w:val="0"/>
          <w:bCs w:val="0"/>
        </w:rPr>
        <w:t>.</w:t>
      </w:r>
      <w:r w:rsidR="00920445" w:rsidRPr="00920445">
        <w:t>A</w:t>
      </w:r>
      <w:r w:rsidR="0005186D">
        <w:t xml:space="preserve"> 2026 márciusában lezárt eljárásban a</w:t>
      </w:r>
      <w:r w:rsidR="00920445" w:rsidRPr="00920445">
        <w:t xml:space="preserve"> cégek vállaltáka kereskedelmi kommunikációjukkal kapcsolatos belső folyamataik fejlesztését</w:t>
      </w:r>
      <w:r w:rsidR="00920445">
        <w:t xml:space="preserve">; </w:t>
      </w:r>
      <w:r w:rsidR="00920445" w:rsidRPr="00920445">
        <w:t>egy megfelelési (compliance) szakértő kijelölését</w:t>
      </w:r>
      <w:r w:rsidR="00920445">
        <w:t xml:space="preserve">; </w:t>
      </w:r>
      <w:r w:rsidR="00920445" w:rsidRPr="00920445">
        <w:t xml:space="preserve">valamint egy részletes belső megfelelési szabályzat kialakítását a jövőbeni kereskedelmi kommunikációk tekintetében, mely a környezeti állításokra vonatkozó intézkedéseket is tartalmaz.Ezen vállalásokon túlmenően </w:t>
      </w:r>
      <w:r w:rsidR="00920445" w:rsidRPr="00920445">
        <w:rPr>
          <w:b/>
          <w:bCs/>
        </w:rPr>
        <w:t>a vállalkozások érdemi edukációs intézkedéseket is meghatároztak. A cégek vállalták, hogy olyan edukációs tartalmakat állítanak össze, melyek kiterjednek a palackozott termékek környezeti hatásaira és a palackvisszaváltási folyamat fontosságára is.</w:t>
      </w:r>
    </w:p>
    <w:p w:rsidR="009C43CB" w:rsidRPr="004E6C15" w:rsidRDefault="00411963" w:rsidP="0005186D">
      <w:pPr>
        <w:pStyle w:val="NormlWeb"/>
        <w:numPr>
          <w:ilvl w:val="0"/>
          <w:numId w:val="7"/>
        </w:numPr>
        <w:spacing w:after="120" w:line="264" w:lineRule="auto"/>
        <w:rPr>
          <w:b/>
          <w:bCs/>
        </w:rPr>
      </w:pPr>
      <w:hyperlink r:id="rId11" w:history="1">
        <w:r w:rsidR="00920445" w:rsidRPr="003E61EA">
          <w:rPr>
            <w:rStyle w:val="Hiperhivatkozs"/>
          </w:rPr>
          <w:t>A második</w:t>
        </w:r>
        <w:r w:rsidR="0005186D">
          <w:rPr>
            <w:rStyle w:val="Hiperhivatkozs"/>
          </w:rPr>
          <w:t xml:space="preserve"> – 2026 májusában lezárt </w:t>
        </w:r>
        <w:r w:rsidR="0005186D" w:rsidRPr="0005186D">
          <w:rPr>
            <w:rStyle w:val="Hiperhivatkozs"/>
          </w:rPr>
          <w:t xml:space="preserve">– </w:t>
        </w:r>
        <w:r w:rsidR="00920445" w:rsidRPr="003E61EA">
          <w:rPr>
            <w:rStyle w:val="Hiperhivatkozs"/>
          </w:rPr>
          <w:t>eljárás során a Szentkirályi Magyarország Kft.  szintén részletes, kötelezettségvállalási csomagot nyújtott be a Versenytanács számára</w:t>
        </w:r>
      </w:hyperlink>
      <w:r w:rsidR="00920445">
        <w:t xml:space="preserve">. Ennek keretében a cég vállalta egy új belső megfelelési program kidolgozását és bevezetését, amely kiemelten figyelembe veszi a GVH zöld marketing iránymutatásait; belső képzések tartását a releváns munkakörben dolgozói számára; valamint a honlapi kommunikációjának felülvizsgálatát. </w:t>
      </w:r>
      <w:r w:rsidR="00920445" w:rsidRPr="004E6C15">
        <w:rPr>
          <w:b/>
          <w:bCs/>
        </w:rPr>
        <w:t>A Szentkirályi vállalta továbbá a betétdíjas visszaváltási rendszerrel kapcsolatos tájékoztatásának fejlesztését is. Ennek keretében a Szentkirályi 2029 végéig negyedévente közzéteszi a weboldalán, hogy a forgalomba hozott PET-palackok mekkora arányban kerültek ténylegesen vissza a rendszerbe, mely adatok közérthetőségét idősoros grafikonnal segíti majd.</w:t>
      </w:r>
    </w:p>
    <w:p w:rsidR="002C2347" w:rsidRPr="00B748AB" w:rsidRDefault="003E61EA" w:rsidP="0005186D">
      <w:pPr>
        <w:pStyle w:val="NormlWeb"/>
        <w:numPr>
          <w:ilvl w:val="0"/>
          <w:numId w:val="7"/>
        </w:numPr>
        <w:spacing w:after="120" w:line="264" w:lineRule="auto"/>
      </w:pPr>
      <w:r w:rsidRPr="0005186D">
        <w:rPr>
          <w:u w:val="single"/>
        </w:rPr>
        <w:t>A harmadik eljárás során – amelyet</w:t>
      </w:r>
      <w:r w:rsidR="004E6C15" w:rsidRPr="0005186D">
        <w:rPr>
          <w:u w:val="single"/>
        </w:rPr>
        <w:t xml:space="preserve"> a napokban</w:t>
      </w:r>
      <w:r w:rsidR="0005186D" w:rsidRPr="0005186D">
        <w:rPr>
          <w:u w:val="single"/>
        </w:rPr>
        <w:t>, 2026 augusztusban</w:t>
      </w:r>
      <w:r w:rsidR="004E6C15" w:rsidRPr="0005186D">
        <w:rPr>
          <w:u w:val="single"/>
        </w:rPr>
        <w:t xml:space="preserve"> zárt le</w:t>
      </w:r>
      <w:r w:rsidRPr="0005186D">
        <w:rPr>
          <w:u w:val="single"/>
        </w:rPr>
        <w:t xml:space="preserve"> a GVH</w:t>
      </w:r>
      <w:r w:rsidR="004E6C15">
        <w:t xml:space="preserve">– </w:t>
      </w:r>
      <w:r>
        <w:t>a</w:t>
      </w:r>
      <w:r w:rsidRPr="003E61EA">
        <w:t xml:space="preserve"> Coca-Cola vállalkozáscsoportba tartozó cégek (Coca-Cola Magyarország Szolgáltató Kft., The Coca-Cola Company, SA Coca-Cola Services NV) és a Coca-Cola HBC Magyarország Kft.</w:t>
      </w:r>
      <w:r>
        <w:t xml:space="preserve"> részletes kötelezettségvállalási csomagot nyújtottak be a GVH aggályainak kezelése érdekében, melyet a GVH javaslatainak megfelelőnek bővítettek is. </w:t>
      </w:r>
      <w:r w:rsidR="004E6C15">
        <w:t>A</w:t>
      </w:r>
      <w:r w:rsidR="0005186D">
        <w:t>z</w:t>
      </w:r>
      <w:r w:rsidR="004E6C15">
        <w:t xml:space="preserve"> érintett cégek</w:t>
      </w:r>
      <w:r>
        <w:t xml:space="preserve"> vállalták, hogy egy célzott és jelentős költségvetésű reklámkampányt indítanak Magyarországon a korábban is használt „Hasznosíts újra” szlogenjére építve. </w:t>
      </w:r>
      <w:r w:rsidRPr="004E6C15">
        <w:rPr>
          <w:b/>
          <w:bCs/>
        </w:rPr>
        <w:t xml:space="preserve">A kampány célja az lesz, hogy ösztönözze a fogyasztókat a PET-palackok újrahasznosításának segítésére, és növelje tudatosságukat, valamint ismereteiket az újrahasznosítás hazai gyakorlati lehetőségeit és a releváns környezetvédelmi és fenntarthatósági szempontokat illetően. </w:t>
      </w:r>
      <w:r>
        <w:t>Az eljárás alá vontak vállalták továbbá, hogy meghatározott ideig nem hivatkoznak a „100%-ban újrahasznosítható” kifejezésre a Naturaqua termékek kapcsán.</w:t>
      </w:r>
    </w:p>
    <w:p w:rsidR="00E22894" w:rsidRDefault="00191264" w:rsidP="0005186D">
      <w:pPr>
        <w:tabs>
          <w:tab w:val="left" w:pos="567"/>
        </w:tabs>
        <w:spacing w:after="120" w:line="264" w:lineRule="auto"/>
        <w:rPr>
          <w:bCs/>
        </w:rPr>
      </w:pPr>
      <w:r w:rsidRPr="004E6C15">
        <w:rPr>
          <w:b/>
        </w:rPr>
        <w:t>A</w:t>
      </w:r>
      <w:r w:rsidR="00B8401B" w:rsidRPr="004E6C15">
        <w:rPr>
          <w:b/>
        </w:rPr>
        <w:t xml:space="preserve"> GVH</w:t>
      </w:r>
      <w:r w:rsidRPr="004E6C15">
        <w:rPr>
          <w:b/>
        </w:rPr>
        <w:t xml:space="preserve"> Versenytanács</w:t>
      </w:r>
      <w:r w:rsidR="00B8401B" w:rsidRPr="004E6C15">
        <w:rPr>
          <w:b/>
        </w:rPr>
        <w:t>a</w:t>
      </w:r>
      <w:r w:rsidR="003E61EA" w:rsidRPr="004E6C15">
        <w:rPr>
          <w:b/>
        </w:rPr>
        <w:t xml:space="preserve"> mindhárom eljárás esetében</w:t>
      </w:r>
      <w:r w:rsidR="00653B20" w:rsidRPr="004E6C15">
        <w:rPr>
          <w:b/>
        </w:rPr>
        <w:t>úgy ítélte meg</w:t>
      </w:r>
      <w:r w:rsidRPr="004E6C15">
        <w:rPr>
          <w:b/>
        </w:rPr>
        <w:t xml:space="preserve">, hogy </w:t>
      </w:r>
      <w:r w:rsidR="00653B20" w:rsidRPr="004E6C15">
        <w:rPr>
          <w:b/>
        </w:rPr>
        <w:t>a</w:t>
      </w:r>
      <w:r w:rsidR="00BE7E2F" w:rsidRPr="004E6C15">
        <w:rPr>
          <w:b/>
        </w:rPr>
        <w:t xml:space="preserve">z eljárás alá vontak </w:t>
      </w:r>
      <w:r w:rsidR="00653B20" w:rsidRPr="004E6C15">
        <w:rPr>
          <w:b/>
        </w:rPr>
        <w:t>vállalásai</w:t>
      </w:r>
      <w:r w:rsidRPr="004E6C15">
        <w:rPr>
          <w:b/>
        </w:rPr>
        <w:t xml:space="preserve"> érdemi</w:t>
      </w:r>
      <w:r w:rsidR="00653B20" w:rsidRPr="004E6C15">
        <w:rPr>
          <w:b/>
        </w:rPr>
        <w:t>ek,</w:t>
      </w:r>
      <w:r w:rsidR="00EC0D44" w:rsidRPr="004E6C15">
        <w:rPr>
          <w:b/>
        </w:rPr>
        <w:t xml:space="preserve">és </w:t>
      </w:r>
      <w:r w:rsidRPr="004E6C15">
        <w:rPr>
          <w:b/>
        </w:rPr>
        <w:t>előremutató</w:t>
      </w:r>
      <w:r w:rsidR="00653B20" w:rsidRPr="004E6C15">
        <w:rPr>
          <w:b/>
        </w:rPr>
        <w:t>ak</w:t>
      </w:r>
      <w:r w:rsidR="00EF6215" w:rsidRPr="004E6C15">
        <w:rPr>
          <w:b/>
        </w:rPr>
        <w:t>,</w:t>
      </w:r>
      <w:r w:rsidR="00EC0D44" w:rsidRPr="004E6C15">
        <w:rPr>
          <w:b/>
        </w:rPr>
        <w:t xml:space="preserve"> így alkalmasak az azonosított problémák és a GVH aggályainak kezelésére</w:t>
      </w:r>
      <w:r w:rsidR="003E61EA" w:rsidRPr="004E6C15">
        <w:rPr>
          <w:b/>
        </w:rPr>
        <w:t>.</w:t>
      </w:r>
      <w:r w:rsidR="00B748AB">
        <w:rPr>
          <w:bCs/>
        </w:rPr>
        <w:t>A</w:t>
      </w:r>
      <w:r w:rsidR="002262C2">
        <w:rPr>
          <w:bCs/>
        </w:rPr>
        <w:t xml:space="preserve"> GVH Versenytanácsa jogsértés megállapítása, vagy annak hiánya nélkül zárta</w:t>
      </w:r>
      <w:r w:rsidR="003E61EA">
        <w:rPr>
          <w:bCs/>
        </w:rPr>
        <w:t xml:space="preserve"> le</w:t>
      </w:r>
      <w:r w:rsidR="002262C2">
        <w:rPr>
          <w:bCs/>
        </w:rPr>
        <w:t xml:space="preserve"> az eljárás</w:t>
      </w:r>
      <w:r w:rsidR="003E61EA">
        <w:rPr>
          <w:bCs/>
        </w:rPr>
        <w:t>okat</w:t>
      </w:r>
      <w:r w:rsidR="002262C2">
        <w:rPr>
          <w:bCs/>
        </w:rPr>
        <w:t>, és kötelezte a</w:t>
      </w:r>
      <w:r w:rsidR="00BE7E2F">
        <w:rPr>
          <w:bCs/>
        </w:rPr>
        <w:t>z eljárás alá vont</w:t>
      </w:r>
      <w:r w:rsidR="00D0237F">
        <w:rPr>
          <w:bCs/>
        </w:rPr>
        <w:t xml:space="preserve"> cégeket</w:t>
      </w:r>
      <w:r w:rsidR="002262C2">
        <w:rPr>
          <w:bCs/>
        </w:rPr>
        <w:t>a vállalt kötelezettség</w:t>
      </w:r>
      <w:r w:rsidR="00E22894">
        <w:rPr>
          <w:bCs/>
        </w:rPr>
        <w:t>ek</w:t>
      </w:r>
      <w:r w:rsidR="002262C2">
        <w:rPr>
          <w:bCs/>
        </w:rPr>
        <w:t xml:space="preserve"> teljesítésére. A maradéktalan teljesítés tényét a GVH a későbbiekben utóvizsgálat</w:t>
      </w:r>
      <w:r w:rsidR="003E61EA">
        <w:rPr>
          <w:bCs/>
        </w:rPr>
        <w:t>ok</w:t>
      </w:r>
      <w:r w:rsidR="002262C2">
        <w:rPr>
          <w:bCs/>
        </w:rPr>
        <w:t xml:space="preserve"> keretében </w:t>
      </w:r>
      <w:r w:rsidR="00BE7E2F">
        <w:rPr>
          <w:bCs/>
        </w:rPr>
        <w:t xml:space="preserve">ellenőrzi </w:t>
      </w:r>
      <w:r w:rsidR="002262C2">
        <w:rPr>
          <w:bCs/>
        </w:rPr>
        <w:t>majd.</w:t>
      </w:r>
    </w:p>
    <w:p w:rsidR="00A61A8F" w:rsidRDefault="00C8456B" w:rsidP="0005186D">
      <w:pPr>
        <w:tabs>
          <w:tab w:val="left" w:pos="567"/>
        </w:tabs>
        <w:spacing w:after="120" w:line="264" w:lineRule="auto"/>
        <w:rPr>
          <w:bCs/>
        </w:rPr>
      </w:pPr>
      <w:r>
        <w:rPr>
          <w:color w:val="000000"/>
        </w:rPr>
        <w:t xml:space="preserve">A Gazdasági Versenyhivatal az elmúlt években kiemelten foglalkozik az ún. „zöld állításokkal”.2024 januárjában publikálta a </w:t>
      </w:r>
      <w:hyperlink r:id="rId12" w:history="1">
        <w:r w:rsidR="00F430E9">
          <w:rPr>
            <w:rStyle w:val="Hiperhivatkozs"/>
            <w:rFonts w:eastAsiaTheme="majorEastAsia"/>
          </w:rPr>
          <w:t>kérdéskört</w:t>
        </w:r>
        <w:r>
          <w:rPr>
            <w:rStyle w:val="Hiperhivatkozs"/>
            <w:rFonts w:eastAsiaTheme="majorEastAsia"/>
          </w:rPr>
          <w:t xml:space="preserve"> vizsgáló piacelemzését</w:t>
        </w:r>
      </w:hyperlink>
      <w:r>
        <w:rPr>
          <w:color w:val="000000"/>
        </w:rPr>
        <w:t xml:space="preserve">, amely rávilágított többek között arra, hogy sok esetben nem egyértelműek, zavarosak a zöld reklámüzenetek, a fogyasztók jelentős része pedig nincs tisztában az egyes állítások és jelölések pontos tartalmával, illetve jelentésével. </w:t>
      </w:r>
      <w:r w:rsidR="00496149" w:rsidRPr="0005186D">
        <w:rPr>
          <w:b/>
        </w:rPr>
        <w:t>A versenyhatóság felhívja a vállalkozások figyelmét, hogy a zöld állításokat tartalmazó kereskedelmi kommunikációjuk kialakítása során mindig körültekintően járjanak el. A zöld állításoknak minden esetben világosan és tárgyilagosan igazolhatónak kell lenniük.</w:t>
      </w:r>
    </w:p>
    <w:p w:rsidR="00981E45" w:rsidRPr="00A61A8F" w:rsidRDefault="00C8456B" w:rsidP="00A61A8F">
      <w:pPr>
        <w:tabs>
          <w:tab w:val="left" w:pos="567"/>
        </w:tabs>
        <w:spacing w:after="120" w:line="264" w:lineRule="auto"/>
        <w:rPr>
          <w:rStyle w:val="Kiemels2"/>
          <w:b w:val="0"/>
          <w:bCs w:val="0"/>
          <w:color w:val="000000"/>
        </w:rPr>
      </w:pPr>
      <w:r>
        <w:rPr>
          <w:color w:val="000000"/>
        </w:rPr>
        <w:t xml:space="preserve">A GVH </w:t>
      </w:r>
      <w:r w:rsidRPr="00A61A8F">
        <w:rPr>
          <w:color w:val="000000"/>
        </w:rPr>
        <w:t xml:space="preserve">a </w:t>
      </w:r>
      <w:r w:rsidRPr="00A61A8F">
        <w:rPr>
          <w:b/>
          <w:bCs/>
          <w:color w:val="000000"/>
        </w:rPr>
        <w:t>vállalkozásokat</w:t>
      </w:r>
      <w:r w:rsidRPr="00A61A8F">
        <w:rPr>
          <w:color w:val="000000"/>
        </w:rPr>
        <w:t xml:space="preserve"> segítő tanácsait </w:t>
      </w:r>
      <w:hyperlink r:id="rId13" w:history="1">
        <w:r w:rsidRPr="00A61A8F">
          <w:rPr>
            <w:rStyle w:val="Hiperhivatkozs"/>
            <w:rFonts w:eastAsiaTheme="majorEastAsia"/>
          </w:rPr>
          <w:t>Zöld marketing útmutatójában</w:t>
        </w:r>
      </w:hyperlink>
      <w:r>
        <w:t xml:space="preserve"> foglalta össze</w:t>
      </w:r>
      <w:r w:rsidR="0010336F">
        <w:t xml:space="preserve">, a </w:t>
      </w:r>
      <w:r w:rsidR="0010336F" w:rsidRPr="00A61A8F">
        <w:rPr>
          <w:b/>
          <w:bCs/>
        </w:rPr>
        <w:t>fogyasztókat</w:t>
      </w:r>
      <w:r w:rsidR="0010336F">
        <w:t xml:space="preserve"> pedig a </w:t>
      </w:r>
      <w:hyperlink r:id="rId14" w:history="1">
        <w:r w:rsidR="0010336F" w:rsidRPr="0010336F">
          <w:rPr>
            <w:rStyle w:val="Hiperhivatkozs"/>
          </w:rPr>
          <w:t>Gondolja Végig Higgadtan! kampánysorozata keretében segíti</w:t>
        </w:r>
      </w:hyperlink>
      <w:r w:rsidR="0010336F">
        <w:t xml:space="preserve"> a zöldüzenetekkel kapcsolatos eligazodásban.</w:t>
      </w:r>
    </w:p>
    <w:bookmarkEnd w:id="1"/>
    <w:p w:rsidR="005F4F3F" w:rsidRPr="00314723" w:rsidRDefault="005F4F3F" w:rsidP="00455322">
      <w:pPr>
        <w:spacing w:after="120"/>
        <w:rPr>
          <w:b/>
          <w:bCs/>
        </w:rPr>
      </w:pPr>
      <w:r w:rsidRPr="00314723">
        <w:rPr>
          <w:b/>
          <w:bCs/>
        </w:rPr>
        <w:t xml:space="preserve">GVH </w:t>
      </w:r>
      <w:r w:rsidR="00016D76">
        <w:rPr>
          <w:b/>
          <w:bCs/>
        </w:rPr>
        <w:t>Kommunikáci</w:t>
      </w:r>
      <w:r w:rsidR="008C2216">
        <w:rPr>
          <w:b/>
          <w:bCs/>
        </w:rPr>
        <w:t>ó</w:t>
      </w:r>
    </w:p>
    <w:p w:rsidR="005F4F3F" w:rsidRPr="00314723" w:rsidRDefault="005F4F3F" w:rsidP="00455322">
      <w:pPr>
        <w:spacing w:after="0"/>
      </w:pPr>
      <w:r w:rsidRPr="00314723">
        <w:t>További információ:</w:t>
      </w:r>
    </w:p>
    <w:p w:rsidR="002A426E" w:rsidRDefault="005F4F3F" w:rsidP="00455322">
      <w:pPr>
        <w:spacing w:after="0"/>
      </w:pPr>
      <w:r w:rsidRPr="00314723">
        <w:t>Horváth Bálint, kommunikációs vezető +36 20 238 6939</w:t>
      </w:r>
    </w:p>
    <w:sectPr w:rsidR="002A426E" w:rsidSect="0005186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567" w:bottom="567" w:left="567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F93" w:rsidRDefault="00610F93">
      <w:pPr>
        <w:spacing w:after="0" w:line="240" w:lineRule="auto"/>
      </w:pPr>
      <w:r>
        <w:separator/>
      </w:r>
    </w:p>
  </w:endnote>
  <w:endnote w:type="continuationSeparator" w:id="1">
    <w:p w:rsidR="00610F93" w:rsidRDefault="0061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11F" w:rsidRDefault="00736F52">
    <w:pPr>
      <w:tabs>
        <w:tab w:val="right" w:pos="9354"/>
      </w:tabs>
      <w:spacing w:before="284" w:after="0" w:line="240" w:lineRule="auto"/>
    </w:pPr>
    <w:r>
      <w:tab/>
    </w:r>
    <w:r w:rsidR="00411963">
      <w:fldChar w:fldCharType="begin"/>
    </w:r>
    <w:r>
      <w:instrText>PAGE</w:instrText>
    </w:r>
    <w:r w:rsidR="00411963">
      <w:fldChar w:fldCharType="separate"/>
    </w:r>
    <w:r w:rsidR="00231574">
      <w:rPr>
        <w:noProof/>
      </w:rPr>
      <w:t>2</w:t>
    </w:r>
    <w:r w:rsidR="00411963">
      <w:fldChar w:fldCharType="end"/>
    </w:r>
    <w: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49" w:rsidRDefault="00496149">
    <w:pPr>
      <w:tabs>
        <w:tab w:val="left" w:pos="3226"/>
      </w:tabs>
      <w:rPr>
        <w:rFonts w:ascii="Arial" w:eastAsia="Arial" w:hAnsi="Arial" w:cs="Arial"/>
        <w:sz w:val="18"/>
        <w:szCs w:val="18"/>
      </w:rPr>
    </w:pPr>
  </w:p>
  <w:p w:rsidR="00B3311F" w:rsidRDefault="00736F52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016D76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F93" w:rsidRDefault="00610F93">
      <w:pPr>
        <w:spacing w:after="0" w:line="240" w:lineRule="auto"/>
      </w:pPr>
      <w:r>
        <w:separator/>
      </w:r>
    </w:p>
  </w:footnote>
  <w:footnote w:type="continuationSeparator" w:id="1">
    <w:p w:rsidR="00610F93" w:rsidRDefault="0061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88" w:rsidRDefault="00874C88" w:rsidP="00874C88">
    <w:pPr>
      <w:pStyle w:val="lfej"/>
      <w:ind w:left="0"/>
    </w:pPr>
  </w:p>
  <w:p w:rsidR="00874C88" w:rsidRDefault="00874C8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11F" w:rsidRDefault="00736F52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>
          <wp:extent cx="1691640" cy="586740"/>
          <wp:effectExtent l="0" t="0" r="0" b="0"/>
          <wp:docPr id="1345036185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2301"/>
    <w:multiLevelType w:val="hybridMultilevel"/>
    <w:tmpl w:val="28CEC2DC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">
    <w:nsid w:val="2D8038CE"/>
    <w:multiLevelType w:val="hybridMultilevel"/>
    <w:tmpl w:val="23E68C18"/>
    <w:lvl w:ilvl="0" w:tplc="FD3474DC">
      <w:start w:val="1"/>
      <w:numFmt w:val="decimal"/>
      <w:lvlText w:val="%1."/>
      <w:lvlJc w:val="left"/>
      <w:pPr>
        <w:ind w:left="1267" w:hanging="360"/>
      </w:pPr>
      <w:rPr>
        <w:rFonts w:eastAsiaTheme="majorEastAsia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987" w:hanging="360"/>
      </w:pPr>
    </w:lvl>
    <w:lvl w:ilvl="2" w:tplc="040E001B" w:tentative="1">
      <w:start w:val="1"/>
      <w:numFmt w:val="lowerRoman"/>
      <w:lvlText w:val="%3."/>
      <w:lvlJc w:val="right"/>
      <w:pPr>
        <w:ind w:left="2707" w:hanging="180"/>
      </w:pPr>
    </w:lvl>
    <w:lvl w:ilvl="3" w:tplc="040E000F" w:tentative="1">
      <w:start w:val="1"/>
      <w:numFmt w:val="decimal"/>
      <w:lvlText w:val="%4."/>
      <w:lvlJc w:val="left"/>
      <w:pPr>
        <w:ind w:left="3427" w:hanging="360"/>
      </w:pPr>
    </w:lvl>
    <w:lvl w:ilvl="4" w:tplc="040E0019" w:tentative="1">
      <w:start w:val="1"/>
      <w:numFmt w:val="lowerLetter"/>
      <w:lvlText w:val="%5."/>
      <w:lvlJc w:val="left"/>
      <w:pPr>
        <w:ind w:left="4147" w:hanging="360"/>
      </w:pPr>
    </w:lvl>
    <w:lvl w:ilvl="5" w:tplc="040E001B" w:tentative="1">
      <w:start w:val="1"/>
      <w:numFmt w:val="lowerRoman"/>
      <w:lvlText w:val="%6."/>
      <w:lvlJc w:val="right"/>
      <w:pPr>
        <w:ind w:left="4867" w:hanging="180"/>
      </w:pPr>
    </w:lvl>
    <w:lvl w:ilvl="6" w:tplc="040E000F" w:tentative="1">
      <w:start w:val="1"/>
      <w:numFmt w:val="decimal"/>
      <w:lvlText w:val="%7."/>
      <w:lvlJc w:val="left"/>
      <w:pPr>
        <w:ind w:left="5587" w:hanging="360"/>
      </w:pPr>
    </w:lvl>
    <w:lvl w:ilvl="7" w:tplc="040E0019" w:tentative="1">
      <w:start w:val="1"/>
      <w:numFmt w:val="lowerLetter"/>
      <w:lvlText w:val="%8."/>
      <w:lvlJc w:val="left"/>
      <w:pPr>
        <w:ind w:left="6307" w:hanging="360"/>
      </w:pPr>
    </w:lvl>
    <w:lvl w:ilvl="8" w:tplc="040E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>
    <w:nsid w:val="2DC50FEA"/>
    <w:multiLevelType w:val="hybridMultilevel"/>
    <w:tmpl w:val="4A7018BE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>
    <w:nsid w:val="36C147E4"/>
    <w:multiLevelType w:val="hybridMultilevel"/>
    <w:tmpl w:val="AF780CD8"/>
    <w:lvl w:ilvl="0" w:tplc="040E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6BCE1831"/>
    <w:multiLevelType w:val="hybridMultilevel"/>
    <w:tmpl w:val="6A8612F2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78053C3A"/>
    <w:multiLevelType w:val="hybridMultilevel"/>
    <w:tmpl w:val="A050ACD6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6">
    <w:nsid w:val="78E66136"/>
    <w:multiLevelType w:val="multilevel"/>
    <w:tmpl w:val="5F12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A6252"/>
    <w:multiLevelType w:val="hybridMultilevel"/>
    <w:tmpl w:val="4D9E1A06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13F"/>
    <w:rsid w:val="00002DFE"/>
    <w:rsid w:val="00010AF1"/>
    <w:rsid w:val="0001164D"/>
    <w:rsid w:val="00011AF6"/>
    <w:rsid w:val="00014ECD"/>
    <w:rsid w:val="00016D76"/>
    <w:rsid w:val="00017EB5"/>
    <w:rsid w:val="00025546"/>
    <w:rsid w:val="00025D9D"/>
    <w:rsid w:val="00027AC5"/>
    <w:rsid w:val="000432EC"/>
    <w:rsid w:val="000502B4"/>
    <w:rsid w:val="00050C5C"/>
    <w:rsid w:val="0005186D"/>
    <w:rsid w:val="00055453"/>
    <w:rsid w:val="00057D8B"/>
    <w:rsid w:val="00060528"/>
    <w:rsid w:val="0006093C"/>
    <w:rsid w:val="0007220F"/>
    <w:rsid w:val="00073C49"/>
    <w:rsid w:val="00080D0A"/>
    <w:rsid w:val="00092905"/>
    <w:rsid w:val="000C3A15"/>
    <w:rsid w:val="000C7EC0"/>
    <w:rsid w:val="000D0161"/>
    <w:rsid w:val="000E4B77"/>
    <w:rsid w:val="000E7621"/>
    <w:rsid w:val="000F44B8"/>
    <w:rsid w:val="000F61B5"/>
    <w:rsid w:val="0010336F"/>
    <w:rsid w:val="00134827"/>
    <w:rsid w:val="00170720"/>
    <w:rsid w:val="0017598A"/>
    <w:rsid w:val="00180BD3"/>
    <w:rsid w:val="00183194"/>
    <w:rsid w:val="00191264"/>
    <w:rsid w:val="00191D2D"/>
    <w:rsid w:val="001A15DC"/>
    <w:rsid w:val="001A32A4"/>
    <w:rsid w:val="001A5996"/>
    <w:rsid w:val="001B0659"/>
    <w:rsid w:val="001B6ED1"/>
    <w:rsid w:val="001C263B"/>
    <w:rsid w:val="001C6F96"/>
    <w:rsid w:val="001D2926"/>
    <w:rsid w:val="001D561A"/>
    <w:rsid w:val="001D6251"/>
    <w:rsid w:val="001D675B"/>
    <w:rsid w:val="001E227E"/>
    <w:rsid w:val="001E5A10"/>
    <w:rsid w:val="001F7D20"/>
    <w:rsid w:val="00202D48"/>
    <w:rsid w:val="00206DF4"/>
    <w:rsid w:val="00221268"/>
    <w:rsid w:val="00223E04"/>
    <w:rsid w:val="00225C60"/>
    <w:rsid w:val="002262C2"/>
    <w:rsid w:val="00230023"/>
    <w:rsid w:val="002300B2"/>
    <w:rsid w:val="00230286"/>
    <w:rsid w:val="002311BF"/>
    <w:rsid w:val="00231574"/>
    <w:rsid w:val="00233F23"/>
    <w:rsid w:val="002344EC"/>
    <w:rsid w:val="00236589"/>
    <w:rsid w:val="00244DEE"/>
    <w:rsid w:val="0025537B"/>
    <w:rsid w:val="002574F3"/>
    <w:rsid w:val="002734A3"/>
    <w:rsid w:val="00274C86"/>
    <w:rsid w:val="002756CF"/>
    <w:rsid w:val="00286FEA"/>
    <w:rsid w:val="00292199"/>
    <w:rsid w:val="00293E97"/>
    <w:rsid w:val="002A0E05"/>
    <w:rsid w:val="002A426E"/>
    <w:rsid w:val="002A4A90"/>
    <w:rsid w:val="002B508F"/>
    <w:rsid w:val="002B5D44"/>
    <w:rsid w:val="002B7F2B"/>
    <w:rsid w:val="002C122C"/>
    <w:rsid w:val="002C2347"/>
    <w:rsid w:val="002C712D"/>
    <w:rsid w:val="002D5498"/>
    <w:rsid w:val="002F4F17"/>
    <w:rsid w:val="00321653"/>
    <w:rsid w:val="00325E00"/>
    <w:rsid w:val="003270A9"/>
    <w:rsid w:val="003303E4"/>
    <w:rsid w:val="00333AA6"/>
    <w:rsid w:val="00333E7D"/>
    <w:rsid w:val="00344131"/>
    <w:rsid w:val="00351FB1"/>
    <w:rsid w:val="00356D88"/>
    <w:rsid w:val="00361831"/>
    <w:rsid w:val="00382160"/>
    <w:rsid w:val="003946C2"/>
    <w:rsid w:val="00395276"/>
    <w:rsid w:val="003B7EBA"/>
    <w:rsid w:val="003C30B9"/>
    <w:rsid w:val="003C51E4"/>
    <w:rsid w:val="003D2776"/>
    <w:rsid w:val="003E0148"/>
    <w:rsid w:val="003E4DCA"/>
    <w:rsid w:val="003E61EA"/>
    <w:rsid w:val="003E675C"/>
    <w:rsid w:val="00400512"/>
    <w:rsid w:val="00400EFA"/>
    <w:rsid w:val="00401C7C"/>
    <w:rsid w:val="00411963"/>
    <w:rsid w:val="004129E4"/>
    <w:rsid w:val="004161BF"/>
    <w:rsid w:val="00416573"/>
    <w:rsid w:val="00424B8A"/>
    <w:rsid w:val="00425C3A"/>
    <w:rsid w:val="00430D05"/>
    <w:rsid w:val="004545F8"/>
    <w:rsid w:val="00454D0A"/>
    <w:rsid w:val="00455322"/>
    <w:rsid w:val="00467562"/>
    <w:rsid w:val="00480150"/>
    <w:rsid w:val="00481BDE"/>
    <w:rsid w:val="00485427"/>
    <w:rsid w:val="00485F3F"/>
    <w:rsid w:val="00486224"/>
    <w:rsid w:val="00491BFC"/>
    <w:rsid w:val="00492DFC"/>
    <w:rsid w:val="00496149"/>
    <w:rsid w:val="0049629F"/>
    <w:rsid w:val="00496369"/>
    <w:rsid w:val="00497F9C"/>
    <w:rsid w:val="004A4246"/>
    <w:rsid w:val="004A5A0A"/>
    <w:rsid w:val="004A664B"/>
    <w:rsid w:val="004B1EC2"/>
    <w:rsid w:val="004C0406"/>
    <w:rsid w:val="004C1A81"/>
    <w:rsid w:val="004C2DF9"/>
    <w:rsid w:val="004C31A8"/>
    <w:rsid w:val="004C3CD5"/>
    <w:rsid w:val="004C3E90"/>
    <w:rsid w:val="004E3890"/>
    <w:rsid w:val="004E6C15"/>
    <w:rsid w:val="004E7893"/>
    <w:rsid w:val="00515173"/>
    <w:rsid w:val="00523A87"/>
    <w:rsid w:val="00545903"/>
    <w:rsid w:val="00550820"/>
    <w:rsid w:val="005566B7"/>
    <w:rsid w:val="00574344"/>
    <w:rsid w:val="005A068C"/>
    <w:rsid w:val="005A20C2"/>
    <w:rsid w:val="005A384B"/>
    <w:rsid w:val="005A4856"/>
    <w:rsid w:val="005B31C0"/>
    <w:rsid w:val="005C5A33"/>
    <w:rsid w:val="005D0788"/>
    <w:rsid w:val="005D6B4B"/>
    <w:rsid w:val="005D7DF1"/>
    <w:rsid w:val="005E13E7"/>
    <w:rsid w:val="005E7373"/>
    <w:rsid w:val="005F4F3F"/>
    <w:rsid w:val="005F67CA"/>
    <w:rsid w:val="006037EF"/>
    <w:rsid w:val="00605725"/>
    <w:rsid w:val="00605AB4"/>
    <w:rsid w:val="00610F93"/>
    <w:rsid w:val="00615C7D"/>
    <w:rsid w:val="006256C4"/>
    <w:rsid w:val="00625E60"/>
    <w:rsid w:val="00626E97"/>
    <w:rsid w:val="006314E5"/>
    <w:rsid w:val="0063452B"/>
    <w:rsid w:val="006423BD"/>
    <w:rsid w:val="006539E0"/>
    <w:rsid w:val="00653B20"/>
    <w:rsid w:val="00672165"/>
    <w:rsid w:val="00694570"/>
    <w:rsid w:val="006A441B"/>
    <w:rsid w:val="006C5A26"/>
    <w:rsid w:val="006C614F"/>
    <w:rsid w:val="006C7EAF"/>
    <w:rsid w:val="006D0F58"/>
    <w:rsid w:val="006D69E6"/>
    <w:rsid w:val="006D7040"/>
    <w:rsid w:val="006D7D61"/>
    <w:rsid w:val="00707258"/>
    <w:rsid w:val="00713098"/>
    <w:rsid w:val="007211D2"/>
    <w:rsid w:val="007232F7"/>
    <w:rsid w:val="00736F52"/>
    <w:rsid w:val="007639CD"/>
    <w:rsid w:val="0077091C"/>
    <w:rsid w:val="00772645"/>
    <w:rsid w:val="00773CDC"/>
    <w:rsid w:val="00781D29"/>
    <w:rsid w:val="007863D5"/>
    <w:rsid w:val="00787303"/>
    <w:rsid w:val="00795618"/>
    <w:rsid w:val="007C3D7E"/>
    <w:rsid w:val="007C504C"/>
    <w:rsid w:val="007C7270"/>
    <w:rsid w:val="007E0FFD"/>
    <w:rsid w:val="007E33B9"/>
    <w:rsid w:val="007E719D"/>
    <w:rsid w:val="007F49A6"/>
    <w:rsid w:val="007F5F73"/>
    <w:rsid w:val="007F6DDC"/>
    <w:rsid w:val="008065BC"/>
    <w:rsid w:val="008125BA"/>
    <w:rsid w:val="00821F1C"/>
    <w:rsid w:val="0082317E"/>
    <w:rsid w:val="00825088"/>
    <w:rsid w:val="008302EE"/>
    <w:rsid w:val="00835621"/>
    <w:rsid w:val="00835934"/>
    <w:rsid w:val="00847363"/>
    <w:rsid w:val="00851CD9"/>
    <w:rsid w:val="00861DEF"/>
    <w:rsid w:val="00866A62"/>
    <w:rsid w:val="00874C88"/>
    <w:rsid w:val="00875F6C"/>
    <w:rsid w:val="008857DA"/>
    <w:rsid w:val="00886B5A"/>
    <w:rsid w:val="00890898"/>
    <w:rsid w:val="008927DB"/>
    <w:rsid w:val="008A0CAC"/>
    <w:rsid w:val="008A4731"/>
    <w:rsid w:val="008B3221"/>
    <w:rsid w:val="008B64CF"/>
    <w:rsid w:val="008B650A"/>
    <w:rsid w:val="008C2216"/>
    <w:rsid w:val="008C44CC"/>
    <w:rsid w:val="008D1DAB"/>
    <w:rsid w:val="008E272C"/>
    <w:rsid w:val="008E34D7"/>
    <w:rsid w:val="008E6757"/>
    <w:rsid w:val="00903E31"/>
    <w:rsid w:val="00904062"/>
    <w:rsid w:val="00905BBD"/>
    <w:rsid w:val="00916F81"/>
    <w:rsid w:val="00920445"/>
    <w:rsid w:val="0092208D"/>
    <w:rsid w:val="00927A0A"/>
    <w:rsid w:val="00933AD1"/>
    <w:rsid w:val="009367B3"/>
    <w:rsid w:val="009478E2"/>
    <w:rsid w:val="00972CA9"/>
    <w:rsid w:val="0097359E"/>
    <w:rsid w:val="00974D32"/>
    <w:rsid w:val="009807A8"/>
    <w:rsid w:val="00981225"/>
    <w:rsid w:val="009816B8"/>
    <w:rsid w:val="00981E45"/>
    <w:rsid w:val="00987D35"/>
    <w:rsid w:val="00990119"/>
    <w:rsid w:val="00990458"/>
    <w:rsid w:val="009A782B"/>
    <w:rsid w:val="009B290E"/>
    <w:rsid w:val="009C43CB"/>
    <w:rsid w:val="009D1F4E"/>
    <w:rsid w:val="009D3019"/>
    <w:rsid w:val="009D3093"/>
    <w:rsid w:val="009E435B"/>
    <w:rsid w:val="009E79B3"/>
    <w:rsid w:val="009F2C39"/>
    <w:rsid w:val="00A06E05"/>
    <w:rsid w:val="00A14019"/>
    <w:rsid w:val="00A16002"/>
    <w:rsid w:val="00A37B54"/>
    <w:rsid w:val="00A475C4"/>
    <w:rsid w:val="00A5471B"/>
    <w:rsid w:val="00A559C2"/>
    <w:rsid w:val="00A610DF"/>
    <w:rsid w:val="00A61A8F"/>
    <w:rsid w:val="00A61C92"/>
    <w:rsid w:val="00A671EC"/>
    <w:rsid w:val="00A7026D"/>
    <w:rsid w:val="00A715B2"/>
    <w:rsid w:val="00A751D9"/>
    <w:rsid w:val="00A814BE"/>
    <w:rsid w:val="00A874BB"/>
    <w:rsid w:val="00A928D5"/>
    <w:rsid w:val="00A96E66"/>
    <w:rsid w:val="00A9726C"/>
    <w:rsid w:val="00AA6196"/>
    <w:rsid w:val="00AB19AE"/>
    <w:rsid w:val="00AB2016"/>
    <w:rsid w:val="00AB3D41"/>
    <w:rsid w:val="00AB5D6E"/>
    <w:rsid w:val="00AE0C35"/>
    <w:rsid w:val="00AE40D6"/>
    <w:rsid w:val="00AF20CE"/>
    <w:rsid w:val="00AF45D3"/>
    <w:rsid w:val="00B02F46"/>
    <w:rsid w:val="00B03B33"/>
    <w:rsid w:val="00B056E2"/>
    <w:rsid w:val="00B070E2"/>
    <w:rsid w:val="00B0747E"/>
    <w:rsid w:val="00B247E5"/>
    <w:rsid w:val="00B3311F"/>
    <w:rsid w:val="00B35B5C"/>
    <w:rsid w:val="00B35DA7"/>
    <w:rsid w:val="00B40517"/>
    <w:rsid w:val="00B416E3"/>
    <w:rsid w:val="00B46BCB"/>
    <w:rsid w:val="00B56A7D"/>
    <w:rsid w:val="00B57625"/>
    <w:rsid w:val="00B6413F"/>
    <w:rsid w:val="00B64C00"/>
    <w:rsid w:val="00B70E7E"/>
    <w:rsid w:val="00B748AB"/>
    <w:rsid w:val="00B8401B"/>
    <w:rsid w:val="00B90563"/>
    <w:rsid w:val="00B97771"/>
    <w:rsid w:val="00BA04D3"/>
    <w:rsid w:val="00BA1644"/>
    <w:rsid w:val="00BA5033"/>
    <w:rsid w:val="00BB087E"/>
    <w:rsid w:val="00BB116D"/>
    <w:rsid w:val="00BC3402"/>
    <w:rsid w:val="00BD7179"/>
    <w:rsid w:val="00BE7E2F"/>
    <w:rsid w:val="00C01217"/>
    <w:rsid w:val="00C074A2"/>
    <w:rsid w:val="00C07C0E"/>
    <w:rsid w:val="00C174E8"/>
    <w:rsid w:val="00C248A0"/>
    <w:rsid w:val="00C25E2F"/>
    <w:rsid w:val="00C540F9"/>
    <w:rsid w:val="00C55449"/>
    <w:rsid w:val="00C56CD6"/>
    <w:rsid w:val="00C61673"/>
    <w:rsid w:val="00C64636"/>
    <w:rsid w:val="00C82749"/>
    <w:rsid w:val="00C836BD"/>
    <w:rsid w:val="00C8456B"/>
    <w:rsid w:val="00C87708"/>
    <w:rsid w:val="00C93CE7"/>
    <w:rsid w:val="00CA2EBA"/>
    <w:rsid w:val="00CA3863"/>
    <w:rsid w:val="00CA56C7"/>
    <w:rsid w:val="00CA6A7E"/>
    <w:rsid w:val="00CD63D8"/>
    <w:rsid w:val="00CE27A3"/>
    <w:rsid w:val="00CF0B45"/>
    <w:rsid w:val="00CF1F2C"/>
    <w:rsid w:val="00D0237F"/>
    <w:rsid w:val="00D12884"/>
    <w:rsid w:val="00D31443"/>
    <w:rsid w:val="00D64765"/>
    <w:rsid w:val="00D82DF7"/>
    <w:rsid w:val="00D84BD0"/>
    <w:rsid w:val="00D879A5"/>
    <w:rsid w:val="00D900B8"/>
    <w:rsid w:val="00D949AD"/>
    <w:rsid w:val="00D960D0"/>
    <w:rsid w:val="00DB5643"/>
    <w:rsid w:val="00DC389D"/>
    <w:rsid w:val="00DC6E83"/>
    <w:rsid w:val="00DC752D"/>
    <w:rsid w:val="00DD5F0A"/>
    <w:rsid w:val="00DE742A"/>
    <w:rsid w:val="00DF0893"/>
    <w:rsid w:val="00DF37B3"/>
    <w:rsid w:val="00DF556F"/>
    <w:rsid w:val="00E044AF"/>
    <w:rsid w:val="00E22894"/>
    <w:rsid w:val="00E26931"/>
    <w:rsid w:val="00E26B19"/>
    <w:rsid w:val="00E326A5"/>
    <w:rsid w:val="00E36C8E"/>
    <w:rsid w:val="00E45607"/>
    <w:rsid w:val="00E50100"/>
    <w:rsid w:val="00E51EC3"/>
    <w:rsid w:val="00E63188"/>
    <w:rsid w:val="00E665BD"/>
    <w:rsid w:val="00E7057C"/>
    <w:rsid w:val="00E87D38"/>
    <w:rsid w:val="00E91771"/>
    <w:rsid w:val="00EA233F"/>
    <w:rsid w:val="00EA31B0"/>
    <w:rsid w:val="00EA7FA0"/>
    <w:rsid w:val="00EC0D44"/>
    <w:rsid w:val="00EC4637"/>
    <w:rsid w:val="00EE6089"/>
    <w:rsid w:val="00EF6215"/>
    <w:rsid w:val="00F0164C"/>
    <w:rsid w:val="00F04182"/>
    <w:rsid w:val="00F04C25"/>
    <w:rsid w:val="00F13997"/>
    <w:rsid w:val="00F155F8"/>
    <w:rsid w:val="00F22CD6"/>
    <w:rsid w:val="00F30567"/>
    <w:rsid w:val="00F32D9A"/>
    <w:rsid w:val="00F377A0"/>
    <w:rsid w:val="00F430E9"/>
    <w:rsid w:val="00F4323C"/>
    <w:rsid w:val="00F436A2"/>
    <w:rsid w:val="00F447C8"/>
    <w:rsid w:val="00F53B38"/>
    <w:rsid w:val="00F54A4A"/>
    <w:rsid w:val="00F63969"/>
    <w:rsid w:val="00F8356C"/>
    <w:rsid w:val="00F94649"/>
    <w:rsid w:val="00F963C8"/>
    <w:rsid w:val="00FA0B2A"/>
    <w:rsid w:val="00FA6906"/>
    <w:rsid w:val="00FB5BF3"/>
    <w:rsid w:val="00FC5159"/>
    <w:rsid w:val="00FD1928"/>
    <w:rsid w:val="00FD31ED"/>
    <w:rsid w:val="00FE5D23"/>
    <w:rsid w:val="00FF0DCC"/>
    <w:rsid w:val="00FF12BA"/>
    <w:rsid w:val="00FF563A"/>
    <w:rsid w:val="00FF5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1831"/>
    <w:pPr>
      <w:spacing w:after="200" w:line="276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3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61831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31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5B31C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A384B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26E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6E9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6E9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6E9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6E9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62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B1EC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7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4C8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7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4C8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F4F3F"/>
    <w:rPr>
      <w:b/>
      <w:bCs/>
    </w:rPr>
  </w:style>
  <w:style w:type="character" w:customStyle="1" w:styleId="rynqvb">
    <w:name w:val="rynqvb"/>
    <w:basedOn w:val="Bekezdsalapbettpusa"/>
    <w:rsid w:val="00C82749"/>
  </w:style>
  <w:style w:type="character" w:styleId="Kiemels">
    <w:name w:val="Emphasis"/>
    <w:basedOn w:val="Bekezdsalapbettpusa"/>
    <w:uiPriority w:val="20"/>
    <w:qFormat/>
    <w:rsid w:val="00416573"/>
    <w:rPr>
      <w:i/>
      <w:iCs/>
    </w:rPr>
  </w:style>
  <w:style w:type="paragraph" w:styleId="NormlWeb">
    <w:name w:val="Normal (Web)"/>
    <w:basedOn w:val="Norml"/>
    <w:uiPriority w:val="99"/>
    <w:unhideWhenUsed/>
    <w:rsid w:val="00920445"/>
  </w:style>
  <w:style w:type="paragraph" w:styleId="Buborkszveg">
    <w:name w:val="Balloon Text"/>
    <w:basedOn w:val="Norml"/>
    <w:link w:val="BuborkszvegChar"/>
    <w:uiPriority w:val="99"/>
    <w:semiHidden/>
    <w:unhideWhenUsed/>
    <w:rsid w:val="0023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1574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hu.hu/hu/ujrahasznositott-alapanyagok-tisztabb-kornyezet-komoly-valtozas-jon-a-pet-palackok-piacan" TargetMode="External"/><Relationship Id="rId13" Type="http://schemas.openxmlformats.org/officeDocument/2006/relationships/hyperlink" Target="https://www.gvh.hu/pfile/file?path=/szakmai_felhasznaloknak/tajekoztatok/szakmai_felhasznalok_tajekoztatok_zold-iranymutatas_201217&amp;inline=tru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vh.hu/sajtoszoba/sajtokozlemenyek/2024-es-sajtokozlemenyek/nem-minden-zold-amirol-azt-allitja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vh.hu/sajtoszoba/sajtokozlemenyek/2026-os-sajtokozlemenyek/a-masodik-pet-palackos-eljarasat-lezarta-a-gv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vh.hu/sajtoszoba/sajtokozlemenyek/2026-os-sajtokozlemenyek/jelentos-vallalasokat-tett-az-asvanyviz-palackozo-ceg-a-gvh-eljarasanak-eredmenyeken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vh.hu/sajtoszoba/sajtokozlemenyek/2024-es-sajtokozlemenyek/pet-palackokkal-kapcsolatos-zold-allitasokat-vizsgal-a-gvh" TargetMode="External"/><Relationship Id="rId14" Type="http://schemas.openxmlformats.org/officeDocument/2006/relationships/hyperlink" Target="https://gvh.hu/sajtoszoba/sajtokozlemenyek/2026-os-sajtokozlemenyek/vegyuk-eszre-ha-egy-fenntarthatosagi-szlogen-zoldsegeket-besze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BF0AA-0DA5-45B3-AA55-17D0483C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Ferencz Csongor dr.</dc:creator>
  <cp:lastModifiedBy>MKOE</cp:lastModifiedBy>
  <cp:revision>2</cp:revision>
  <cp:lastPrinted>2026-08-18T06:46:00Z</cp:lastPrinted>
  <dcterms:created xsi:type="dcterms:W3CDTF">2026-08-18T07:49:00Z</dcterms:created>
  <dcterms:modified xsi:type="dcterms:W3CDTF">2026-08-18T07:49:00Z</dcterms:modified>
</cp:coreProperties>
</file>