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rFonts w:ascii="Times New Roman" w:hAnsi="Times New Roman" w:eastAsia="Times New Roman"/>
          <w:b w:val="0"/>
          <w:i w:val="0"/>
          <w:color w:val="000000"/>
        </w:rPr>
        <w:t>MAGYAR ADÓTANÁCSADÓI ÉS KÖNYVELŐI SZOLGÁLTATÓK KAMARÁJA</w:t>
      </w:r>
    </w:p>
    <w:p>
      <w:pPr>
        <w:spacing w:after="240"/>
        <w:jc w:val="center"/>
      </w:pPr>
      <w:r>
        <w:rPr>
          <w:rFonts w:ascii="Times New Roman" w:hAnsi="Times New Roman" w:eastAsia="Times New Roman"/>
          <w:b/>
          <w:i w:val="0"/>
          <w:color w:val="000000"/>
        </w:rPr>
        <w:t>A „MAX Kamara” létrehozására, a könyvviteli és adózási szolgáltatói piac rendezésére, valamint a Korlátlan Felelősségű Iroda jogállásának bevezetésére vonatkozó alapbeadvány</w:t>
      </w:r>
    </w:p>
    <w:p>
      <w:pPr>
        <w:spacing w:after="480"/>
        <w:jc w:val="center"/>
      </w:pPr>
      <w:r>
        <w:rPr>
          <w:rFonts w:ascii="Times New Roman" w:hAnsi="Times New Roman" w:eastAsia="Times New Roman"/>
          <w:b w:val="0"/>
          <w:i/>
          <w:color w:val="000000"/>
        </w:rPr>
        <w:t>Szakpolitikai koncepció, uniós megfelelési terv, jogalkotási akcióterv és normaszöveg-munkaváltozat</w:t>
      </w:r>
    </w:p>
    <w:p>
      <w:pPr>
        <w:spacing w:after="120"/>
        <w:jc w:val="center"/>
      </w:pPr>
      <w:r>
        <w:rPr>
          <w:rFonts w:ascii="Times New Roman" w:hAnsi="Times New Roman" w:eastAsia="Times New Roman"/>
          <w:b w:val="0"/>
          <w:i w:val="0"/>
          <w:color w:val="000000"/>
        </w:rPr>
        <w:t>Címzett: Magyar Könyvelők Országos Egyesületének Elnöksége</w:t>
      </w:r>
    </w:p>
    <w:p>
      <w:pPr>
        <w:spacing w:after="120"/>
        <w:jc w:val="center"/>
      </w:pPr>
      <w:r>
        <w:rPr>
          <w:rFonts w:ascii="Times New Roman" w:hAnsi="Times New Roman" w:eastAsia="Times New Roman"/>
          <w:b w:val="0"/>
          <w:i w:val="0"/>
          <w:color w:val="000000"/>
        </w:rPr>
        <w:t>Készítés időpontja: 2026. augusztus</w:t>
      </w:r>
    </w:p>
    <w:p>
      <w:pPr>
        <w:pStyle w:val="Small"/>
        <w:spacing w:after="0"/>
        <w:jc w:val="center"/>
      </w:pPr>
      <w:r>
        <w:rPr>
          <w:rFonts w:ascii="Times New Roman" w:hAnsi="Times New Roman" w:eastAsia="Times New Roman"/>
          <w:b w:val="0"/>
          <w:i w:val="0"/>
          <w:color w:val="000000"/>
        </w:rPr>
        <w:t>Munkaváltozat – szakmai és jogalkotói egyeztetésre</w:t>
      </w:r>
    </w:p>
    <w:p>
      <w:r>
        <w:rPr>
          <w:rFonts w:ascii="Times New Roman" w:hAnsi="Times New Roman" w:eastAsia="Times New Roman"/>
          <w:color w:val="000000"/>
        </w:rPr>
        <w:br w:type="page"/>
      </w:r>
    </w:p>
    <w:p>
      <w:pPr>
        <w:pStyle w:val="Heading1"/>
      </w:pPr>
      <w:r>
        <w:rPr>
          <w:rFonts w:ascii="Times New Roman" w:hAnsi="Times New Roman" w:eastAsia="Times New Roman"/>
          <w:color w:val="000000"/>
        </w:rPr>
        <w:t>Vezetői összefoglaló</w:t>
      </w:r>
    </w:p>
    <w:p>
      <w:pPr>
        <w:spacing w:after="120"/>
        <w:ind w:firstLine="397"/>
      </w:pPr>
      <w:r>
        <w:rPr>
          <w:rFonts w:ascii="Times New Roman" w:hAnsi="Times New Roman" w:eastAsia="Times New Roman"/>
          <w:b w:val="0"/>
          <w:i w:val="0"/>
          <w:color w:val="000000"/>
        </w:rPr>
        <w:t>Magyarországon jelenleg nincs megbízható, egységes és szolgáltatói szintű nyilvántartás arról, hogy kik végeznek üzletszerűen könyvviteli, bérszámfejtési, bevalláskészítési és adótanácsadási tevékenységet. A meglévő nyilvántartások természetes személyek képesítésére és továbbképzésére összpontosítanak, miközben nem teszik láthatóvá az irodai működést, az ügyfélállomány nagyságát, a felelősségi fedezetet, az adatvagyon kezelését, a tényleges szakmai irányítást és a szolgáltatói kockázatokat.</w:t>
      </w:r>
    </w:p>
    <w:p>
      <w:pPr>
        <w:spacing w:after="120"/>
        <w:ind w:firstLine="397"/>
      </w:pPr>
      <w:r>
        <w:rPr>
          <w:rFonts w:ascii="Times New Roman" w:hAnsi="Times New Roman" w:eastAsia="Times New Roman"/>
          <w:b w:val="0"/>
          <w:i w:val="0"/>
          <w:color w:val="000000"/>
        </w:rPr>
        <w:t>A javaslat központi eleme a Magyar Adótanácsadói és Könyvelői Szolgáltatók Kamarájának, röviden MAX Kamarának a létrehozása. A Kamara kötelező, tagdíjmentes egyéni tagságot, valamint díjfizetéshez és működési feltételekhez kötött szolgáltatói tagságot vezetne be. A Kamara nyilvántartaná a szakembereket és a szolgáltató szervezeteket, felügyelné a szakmai működést, vizsgáztatna, továbbképzést szervezne és ellenőrizne, panaszokat kezelne, fegyelmi eljárást folytatna, valamint fellépne a jogosulatlan és rejtett szolgáltatás ellen.</w:t>
      </w:r>
    </w:p>
    <w:p>
      <w:pPr>
        <w:spacing w:after="120"/>
        <w:ind w:firstLine="397"/>
      </w:pPr>
      <w:r>
        <w:rPr>
          <w:rFonts w:ascii="Times New Roman" w:hAnsi="Times New Roman" w:eastAsia="Times New Roman"/>
          <w:b w:val="0"/>
          <w:i w:val="0"/>
          <w:color w:val="000000"/>
        </w:rPr>
        <w:t>A szervezett könyvelőirodák számára bevezetendő KFI, vagyis Korlátlan Felelősségű Iroda jogállás nem új társasági forma, hanem törvényben meghatározott szakmai szolgáltatói minőség. A KFI mögött a szolgáltató szervezet vagyona, kötelező szakmai felelősségbiztosítás, kamarai kártalanítási alap és végső soron a kijelölt felelős szakmai tagok mögöttes helytállása állna. A korlátlan felelősség kizárólag a szakmai szolgáltatásból eredő, jogerősen megállapított károkra terjedne ki, nem a vállalkozás általános tartozásaira.</w:t>
      </w:r>
    </w:p>
    <w:p>
      <w:pPr>
        <w:spacing w:after="120"/>
        <w:ind w:firstLine="397"/>
      </w:pPr>
      <w:r>
        <w:rPr>
          <w:rFonts w:ascii="Times New Roman" w:hAnsi="Times New Roman" w:eastAsia="Times New Roman"/>
          <w:b w:val="0"/>
          <w:i w:val="0"/>
          <w:color w:val="000000"/>
        </w:rPr>
        <w:t>Az európai uniós jog nem tiltja új szabályozott szakma vagy kötelező szakmai kamara létrehozását. A szabályozást azonban az Európai Parlament és a Tanács (EU) 2018/958 irányelve alapján előzetes arányossági vizsgálatnak kell alávetni. A magyar javaslat közérdekű céljai az adóbevételek védelme, a pénzügyi beszámolók megbízhatósága, az ügyfelek és munkavállalók védelme, a pénzmosás és az adóelkerülés visszaszorítása, valamint a szakmai adatvagyon megőrzése. A tagdíjmentes egyéni tagság, a többéves átmenet, a munkaviszonyban dolgozók elkülönített kezelése és az uniós szolgáltatókra vonatkozó elismerési szabályok csökkentik a piacra lépés korlátozását.</w:t>
      </w:r>
    </w:p>
    <w:p>
      <w:pPr>
        <w:spacing w:after="120"/>
        <w:ind w:firstLine="397"/>
      </w:pPr>
      <w:r>
        <w:rPr>
          <w:rFonts w:ascii="Times New Roman" w:hAnsi="Times New Roman" w:eastAsia="Times New Roman"/>
          <w:b w:val="0"/>
          <w:i w:val="0"/>
          <w:color w:val="000000"/>
        </w:rPr>
        <w:t>Belgiumban az Institute for Tax Advisors and Accountants (ITAA), Ausztriában a Kammer der Steuerberater:innen und Wirtschaftsprüfer:innen (KSW), Franciaországban az Ordre des Experts-Comptables, Olaszországban pedig a Consiglio Nazionale dei Dottori Commercialisti e degli Esperti Contabili működtet nyilvántartási, vizsgáztatási, képzési, fegyelmi és részben szolgáltatói felügyeleti rendszert. Ezek a példák nem másolhatók át mechanikusan, de igazolják, hogy a magyar javaslat nem európai különlegesség.</w:t>
      </w:r>
    </w:p>
    <w:p>
      <w:pPr>
        <w:pStyle w:val="Heading1"/>
      </w:pPr>
      <w:r>
        <w:rPr>
          <w:rFonts w:ascii="Times New Roman" w:hAnsi="Times New Roman" w:eastAsia="Times New Roman"/>
          <w:color w:val="000000"/>
        </w:rPr>
        <w:t>1. A beadvány célja</w:t>
      </w:r>
    </w:p>
    <w:p>
      <w:pPr>
        <w:spacing w:after="120"/>
        <w:ind w:firstLine="397"/>
      </w:pPr>
      <w:r>
        <w:rPr>
          <w:rFonts w:ascii="Times New Roman" w:hAnsi="Times New Roman" w:eastAsia="Times New Roman"/>
          <w:b w:val="0"/>
          <w:i w:val="0"/>
          <w:color w:val="000000"/>
        </w:rPr>
        <w:t>A beadvány célja olyan egységes szakpolitikai és jogalkotási alap létrehozása, amelyből kormányzati előterjesztés, törvényjavaslat, uniós arányossági vizsgálat, társadalmi egyeztetési anyag és kamarai alapító program egyaránt elkészíthető. A tervezet tudatosan együtt kezeli a könyvviteli szolgáltatást, a bérszámfejtést, a bevalláskészítést, az adótanácsadást és az adóhatóság előtti szakmai képviseletet, mert a magyar kis- és középvállalkozói piacon ezek a feladatok rendszerint ugyanazon szolgáltatónál összpontosulnak.</w:t>
      </w:r>
    </w:p>
    <w:p>
      <w:pPr>
        <w:pStyle w:val="Heading1"/>
      </w:pPr>
      <w:r>
        <w:rPr>
          <w:rFonts w:ascii="Times New Roman" w:hAnsi="Times New Roman" w:eastAsia="Times New Roman"/>
          <w:color w:val="000000"/>
        </w:rPr>
        <w:t>2. Helyzetkép: a magyar könyvelési és adótanácsadási piac</w:t>
      </w:r>
    </w:p>
    <w:p>
      <w:pPr>
        <w:pStyle w:val="Heading2"/>
      </w:pPr>
      <w:r>
        <w:rPr>
          <w:rFonts w:ascii="Times New Roman" w:hAnsi="Times New Roman" w:eastAsia="Times New Roman"/>
          <w:color w:val="000000"/>
        </w:rPr>
        <w:t>2.1. A piac nem mérhető pontosan</w:t>
      </w:r>
    </w:p>
    <w:p>
      <w:pPr>
        <w:spacing w:after="120"/>
        <w:ind w:firstLine="397"/>
      </w:pPr>
      <w:r>
        <w:rPr>
          <w:rFonts w:ascii="Times New Roman" w:hAnsi="Times New Roman" w:eastAsia="Times New Roman"/>
          <w:b w:val="0"/>
          <w:i w:val="0"/>
          <w:color w:val="000000"/>
        </w:rPr>
        <w:t>A FairConto 2026. január 4-én közzétett piaci elemzése szerint a könyvelői piac széttagolt, és a rendelkezésre álló állami, cégnyilvántartási és szakmai adatokból nem állapítható meg megbízhatóan a tényleges szolgáltatói kör. Közel 50 ezer személy rendelkezhet érvényes mérlegképes könyvelői nyilvántartással, a könyveléssel foglalkozó adótanácsadókkal, könyvvizsgálókkal, képesítés nélkül dolgozó munkavállalókkal és zugkönyvelőkkel együtt pedig a teljes érintett létszám megközelítheti a 60–63 ezer főt.</w:t>
      </w:r>
    </w:p>
    <w:p>
      <w:pPr>
        <w:spacing w:after="120"/>
        <w:ind w:firstLine="397"/>
      </w:pPr>
      <w:r>
        <w:rPr>
          <w:rFonts w:ascii="Times New Roman" w:hAnsi="Times New Roman" w:eastAsia="Times New Roman"/>
          <w:b w:val="0"/>
          <w:i w:val="0"/>
          <w:color w:val="000000"/>
        </w:rPr>
        <w:t>A 6920. számú gazdasági tevékenységi besorolás alapján azonosítható vállalkozások köre torzít: szerepelnek benne bevétel nélküli társaságok, nemzetközi szolgáltató központok, könyvvizsgáló társaságok, tanácsadók és olyan vállalkozások is, amelyek főtevékenységük ellenére ténylegesen nem nyújtanak könyvelési szolgáltatást. Ezzel párhuzamosan jelentős számú szolgáltató más főtevékenységi kóddal vagy számla nélkül működik.</w:t>
      </w:r>
    </w:p>
    <w:p>
      <w:pPr>
        <w:pStyle w:val="Heading2"/>
      </w:pPr>
      <w:r>
        <w:rPr>
          <w:rFonts w:ascii="Times New Roman" w:hAnsi="Times New Roman" w:eastAsia="Times New Roman"/>
          <w:color w:val="000000"/>
        </w:rPr>
        <w:t>2.2. A piac hat fő csoportja</w:t>
      </w:r>
    </w:p>
    <w:p>
      <w:pPr>
        <w:pStyle w:val="ListBullet"/>
        <w:spacing w:after="60"/>
      </w:pPr>
      <w:r>
        <w:rPr>
          <w:rFonts w:ascii="Times New Roman" w:hAnsi="Times New Roman" w:eastAsia="Times New Roman"/>
          <w:color w:val="000000"/>
        </w:rPr>
        <w:t>A nagy, nemzetközi kapcsolatokkal rendelkező könyvelőirodák köre, több ezer munkavállalóval.</w:t>
      </w:r>
    </w:p>
    <w:p>
      <w:pPr>
        <w:pStyle w:val="ListBullet"/>
        <w:spacing w:after="60"/>
      </w:pPr>
      <w:r>
        <w:rPr>
          <w:rFonts w:ascii="Times New Roman" w:hAnsi="Times New Roman" w:eastAsia="Times New Roman"/>
          <w:color w:val="000000"/>
        </w:rPr>
        <w:t>A hozzávetőleg 300–400 közepes iroda, jellemzően több százmillió forintos éves bevétellel.</w:t>
      </w:r>
    </w:p>
    <w:p>
      <w:pPr>
        <w:pStyle w:val="ListBullet"/>
        <w:spacing w:after="60"/>
      </w:pPr>
      <w:r>
        <w:rPr>
          <w:rFonts w:ascii="Times New Roman" w:hAnsi="Times New Roman" w:eastAsia="Times New Roman"/>
          <w:color w:val="000000"/>
        </w:rPr>
        <w:t>A mintegy háromezer kisebb iroda, ahol a tulajdonos néhány munkatárssal legfeljebb száz-kétszáz ügyfelet szolgál ki.</w:t>
      </w:r>
    </w:p>
    <w:p>
      <w:pPr>
        <w:pStyle w:val="ListBullet"/>
        <w:spacing w:after="60"/>
      </w:pPr>
      <w:r>
        <w:rPr>
          <w:rFonts w:ascii="Times New Roman" w:hAnsi="Times New Roman" w:eastAsia="Times New Roman"/>
          <w:color w:val="000000"/>
        </w:rPr>
        <w:t>A körülbelül húszezer egyszemélyes könyvelő vállalkozás, rendszerint néhány tucat ügyféllel.</w:t>
      </w:r>
    </w:p>
    <w:p>
      <w:pPr>
        <w:pStyle w:val="ListBullet"/>
        <w:spacing w:after="60"/>
      </w:pPr>
      <w:r>
        <w:rPr>
          <w:rFonts w:ascii="Times New Roman" w:hAnsi="Times New Roman" w:eastAsia="Times New Roman"/>
          <w:color w:val="000000"/>
        </w:rPr>
        <w:t>A munkaviszonyban vagy egyetlen megbízó részére vállalkozóként dolgozó, nagyjából húszezres kör.</w:t>
      </w:r>
    </w:p>
    <w:p>
      <w:pPr>
        <w:pStyle w:val="ListBullet"/>
        <w:spacing w:after="60"/>
      </w:pPr>
      <w:r>
        <w:rPr>
          <w:rFonts w:ascii="Times New Roman" w:hAnsi="Times New Roman" w:eastAsia="Times New Roman"/>
          <w:color w:val="000000"/>
        </w:rPr>
        <w:t>A hozzávetőleg háromezer főre becsülhető, részben számla nélkül és rejtetten dolgozó zugkönyvelői kör.</w:t>
      </w:r>
    </w:p>
    <w:p>
      <w:pPr>
        <w:spacing w:after="120"/>
        <w:ind w:firstLine="397"/>
      </w:pPr>
      <w:r>
        <w:rPr>
          <w:rFonts w:ascii="Times New Roman" w:hAnsi="Times New Roman" w:eastAsia="Times New Roman"/>
          <w:b w:val="0"/>
          <w:i w:val="0"/>
          <w:color w:val="000000"/>
        </w:rPr>
        <w:t>A szabályozásnak különbséget kell tennie a saját munkáltató részére végzett belső könyvelés és a piaci szolgáltatás között. A kötelező kamarai nyilvántartás elsődlegesen a más személy részére, ellenérték fejében, üzletszerűen végzett tevékenységre irányul. A munkaviszonyban dolgozó szakemberek egyéni szakmai tagsága ugyanakkor indokolt a képzési és szakmai nyilvántartási rendszer egysége miatt.</w:t>
      </w:r>
    </w:p>
    <w:p>
      <w:pPr>
        <w:pStyle w:val="Heading2"/>
      </w:pPr>
      <w:r>
        <w:rPr>
          <w:rFonts w:ascii="Times New Roman" w:hAnsi="Times New Roman" w:eastAsia="Times New Roman"/>
          <w:color w:val="000000"/>
        </w:rPr>
        <w:t>2.3. A jelenlegi szabályozás fő hiányai</w:t>
      </w:r>
    </w:p>
    <w:p>
      <w:pPr>
        <w:pStyle w:val="ListBullet"/>
        <w:spacing w:after="60"/>
      </w:pPr>
      <w:r>
        <w:rPr>
          <w:rFonts w:ascii="Times New Roman" w:hAnsi="Times New Roman" w:eastAsia="Times New Roman"/>
          <w:color w:val="000000"/>
        </w:rPr>
        <w:t>A számviteli törvény a könyvviteli szolgáltatás fogalmát és a feladatok irányításához szükséges képesítést szabályozza, de nem tart nyilván szolgáltató irodákat.</w:t>
      </w:r>
    </w:p>
    <w:p>
      <w:pPr>
        <w:pStyle w:val="ListBullet"/>
        <w:spacing w:after="60"/>
      </w:pPr>
      <w:r>
        <w:rPr>
          <w:rFonts w:ascii="Times New Roman" w:hAnsi="Times New Roman" w:eastAsia="Times New Roman"/>
          <w:color w:val="000000"/>
        </w:rPr>
        <w:t>A 93/2002. (V. 5.) Korm. rendelet természetes személyek engedélyezésére, nyilvántartására és továbbképzésére épül.</w:t>
      </w:r>
    </w:p>
    <w:p>
      <w:pPr>
        <w:pStyle w:val="ListBullet"/>
        <w:spacing w:after="60"/>
      </w:pPr>
      <w:r>
        <w:rPr>
          <w:rFonts w:ascii="Times New Roman" w:hAnsi="Times New Roman" w:eastAsia="Times New Roman"/>
          <w:color w:val="000000"/>
        </w:rPr>
        <w:t>Az adótanácsadói, adószakértői és okleveles adószakértői nyilvántartás szintén személyi nyilvántartás, és nem fogja át az adózási tanácsadást ténylegesen nyújtó teljes piacot.</w:t>
      </w:r>
    </w:p>
    <w:p>
      <w:pPr>
        <w:pStyle w:val="ListBullet"/>
        <w:spacing w:after="60"/>
      </w:pPr>
      <w:r>
        <w:rPr>
          <w:rFonts w:ascii="Times New Roman" w:hAnsi="Times New Roman" w:eastAsia="Times New Roman"/>
          <w:color w:val="000000"/>
        </w:rPr>
        <w:t>Nincs egységes kötelező szakmai felelősségbiztosítás, szolgáltatói adatmentési és iratátadási szabály, ügyfélpanasz-rendszer és szolgáltatói fegyelmi felügyelet.</w:t>
      </w:r>
    </w:p>
    <w:p>
      <w:pPr>
        <w:pStyle w:val="ListBullet"/>
        <w:spacing w:after="60"/>
      </w:pPr>
      <w:r>
        <w:rPr>
          <w:rFonts w:ascii="Times New Roman" w:hAnsi="Times New Roman" w:eastAsia="Times New Roman"/>
          <w:color w:val="000000"/>
        </w:rPr>
        <w:t>Nincs olyan nyilvános kereső, amelyből az ügyfél megállapíthatná, hogy a szolgáltató jogosult-e, ki a felelős szakmai vezetője, van-e biztosítása, és fennáll-e vele szemben korlátozás.</w:t>
      </w:r>
    </w:p>
    <w:p>
      <w:pPr>
        <w:pStyle w:val="ListBullet"/>
        <w:spacing w:after="60"/>
      </w:pPr>
      <w:r>
        <w:rPr>
          <w:rFonts w:ascii="Times New Roman" w:hAnsi="Times New Roman" w:eastAsia="Times New Roman"/>
          <w:color w:val="000000"/>
        </w:rPr>
        <w:t>A pénzmosás-megelőzési felügyelet túlságosan a dokumentumok meglétére, és nem a valódi kockázatok felismerésére összpontosít.</w:t>
      </w:r>
    </w:p>
    <w:p>
      <w:pPr>
        <w:pStyle w:val="Heading1"/>
      </w:pPr>
      <w:r>
        <w:rPr>
          <w:rFonts w:ascii="Times New Roman" w:hAnsi="Times New Roman" w:eastAsia="Times New Roman"/>
          <w:color w:val="000000"/>
        </w:rPr>
        <w:t>3. A szabályozás közérdekű indokai</w:t>
      </w:r>
    </w:p>
    <w:p>
      <w:pPr>
        <w:pStyle w:val="ListBullet"/>
        <w:spacing w:after="60"/>
      </w:pPr>
      <w:r>
        <w:rPr>
          <w:rFonts w:ascii="Times New Roman" w:hAnsi="Times New Roman" w:eastAsia="Times New Roman"/>
          <w:color w:val="000000"/>
        </w:rPr>
        <w:t>Az állami adóbevételek és a társadalombiztosítási bevételek védelme.</w:t>
      </w:r>
    </w:p>
    <w:p>
      <w:pPr>
        <w:pStyle w:val="ListBullet"/>
        <w:spacing w:after="60"/>
      </w:pPr>
      <w:r>
        <w:rPr>
          <w:rFonts w:ascii="Times New Roman" w:hAnsi="Times New Roman" w:eastAsia="Times New Roman"/>
          <w:color w:val="000000"/>
        </w:rPr>
        <w:t>A vállalkozások beszámolóinak és adóbevallásainak megbízhatósága.</w:t>
      </w:r>
    </w:p>
    <w:p>
      <w:pPr>
        <w:pStyle w:val="ListBullet"/>
        <w:spacing w:after="60"/>
      </w:pPr>
      <w:r>
        <w:rPr>
          <w:rFonts w:ascii="Times New Roman" w:hAnsi="Times New Roman" w:eastAsia="Times New Roman"/>
          <w:color w:val="000000"/>
        </w:rPr>
        <w:t>A munkavállalók bérének, járulékainak és társadalombiztosítási jogainak védelme.</w:t>
      </w:r>
    </w:p>
    <w:p>
      <w:pPr>
        <w:pStyle w:val="ListBullet"/>
        <w:spacing w:after="60"/>
      </w:pPr>
      <w:r>
        <w:rPr>
          <w:rFonts w:ascii="Times New Roman" w:hAnsi="Times New Roman" w:eastAsia="Times New Roman"/>
          <w:color w:val="000000"/>
        </w:rPr>
        <w:t>A vállalkozói ügyfelek védelme a hibás, megszűnő vagy elérhetetlenné váló szolgáltatókkal szemben.</w:t>
      </w:r>
    </w:p>
    <w:p>
      <w:pPr>
        <w:pStyle w:val="ListBullet"/>
        <w:spacing w:after="60"/>
      </w:pPr>
      <w:r>
        <w:rPr>
          <w:rFonts w:ascii="Times New Roman" w:hAnsi="Times New Roman" w:eastAsia="Times New Roman"/>
          <w:color w:val="000000"/>
        </w:rPr>
        <w:t>A könyvelési adatvagyon, az iratok és az elektronikus hozzáférések rendezett átadása.</w:t>
      </w:r>
    </w:p>
    <w:p>
      <w:pPr>
        <w:pStyle w:val="ListBullet"/>
        <w:spacing w:after="60"/>
      </w:pPr>
      <w:r>
        <w:rPr>
          <w:rFonts w:ascii="Times New Roman" w:hAnsi="Times New Roman" w:eastAsia="Times New Roman"/>
          <w:color w:val="000000"/>
        </w:rPr>
        <w:t>A pénzmosás, a költségvetési csalás és a visszaélésszerű adótervezés felismerésének javítása.</w:t>
      </w:r>
    </w:p>
    <w:p>
      <w:pPr>
        <w:pStyle w:val="ListBullet"/>
        <w:spacing w:after="60"/>
      </w:pPr>
      <w:r>
        <w:rPr>
          <w:rFonts w:ascii="Times New Roman" w:hAnsi="Times New Roman" w:eastAsia="Times New Roman"/>
          <w:color w:val="000000"/>
        </w:rPr>
        <w:t>A jóhiszemű szakemberek védelme a jogosulatlan és számla nélkül dolgozó versenytársakkal szemben.</w:t>
      </w:r>
    </w:p>
    <w:p>
      <w:pPr>
        <w:pStyle w:val="ListBullet"/>
        <w:spacing w:after="60"/>
      </w:pPr>
      <w:r>
        <w:rPr>
          <w:rFonts w:ascii="Times New Roman" w:hAnsi="Times New Roman" w:eastAsia="Times New Roman"/>
          <w:color w:val="000000"/>
        </w:rPr>
        <w:t>A könyvelői és adótanácsadói képzés gyakorlati alapokra helyezése.</w:t>
      </w:r>
    </w:p>
    <w:p>
      <w:pPr>
        <w:pStyle w:val="ListBullet"/>
        <w:spacing w:after="60"/>
      </w:pPr>
      <w:r>
        <w:rPr>
          <w:rFonts w:ascii="Times New Roman" w:hAnsi="Times New Roman" w:eastAsia="Times New Roman"/>
          <w:color w:val="000000"/>
        </w:rPr>
        <w:t>Az állam és a szakma közötti intézményes, számonkérhető együttműködés létrehozása az adózás szélesebb körű automatizálásáig.</w:t>
      </w:r>
    </w:p>
    <w:p>
      <w:pPr>
        <w:pStyle w:val="Heading1"/>
      </w:pPr>
      <w:r>
        <w:rPr>
          <w:rFonts w:ascii="Times New Roman" w:hAnsi="Times New Roman" w:eastAsia="Times New Roman"/>
          <w:color w:val="000000"/>
        </w:rPr>
        <w:t>4. A MAX Kamara szervezeti koncepciója</w:t>
      </w:r>
    </w:p>
    <w:p>
      <w:pPr>
        <w:pStyle w:val="Heading2"/>
      </w:pPr>
      <w:r>
        <w:rPr>
          <w:rFonts w:ascii="Times New Roman" w:hAnsi="Times New Roman" w:eastAsia="Times New Roman"/>
          <w:color w:val="000000"/>
        </w:rPr>
        <w:t>4.1. Név és arculat</w:t>
      </w:r>
    </w:p>
    <w:p>
      <w:pPr>
        <w:spacing w:after="120"/>
        <w:ind w:firstLine="397"/>
      </w:pPr>
      <w:r>
        <w:rPr>
          <w:rFonts w:ascii="Times New Roman" w:hAnsi="Times New Roman" w:eastAsia="Times New Roman"/>
          <w:b w:val="0"/>
          <w:i w:val="0"/>
          <w:color w:val="000000"/>
        </w:rPr>
        <w:t>A javasolt teljes név: Magyar Adótanácsadói és Könyvelői Szolgáltatók Kamarája. A közhasználatú rövid név: MAX Kamara. A „MAX” nem betűhű rövidítés, hanem megjegyezhető köznévi márkanév, amelyhez a legmagasabb szakmai biztonság, az átlátható működés és a tényleges felelősség üzenete kapcsolható.</w:t>
      </w:r>
    </w:p>
    <w:p>
      <w:pPr>
        <w:spacing w:after="120"/>
        <w:ind w:firstLine="397"/>
      </w:pPr>
      <w:r>
        <w:rPr>
          <w:rFonts w:ascii="Times New Roman" w:hAnsi="Times New Roman" w:eastAsia="Times New Roman"/>
          <w:b w:val="0"/>
          <w:i w:val="0"/>
          <w:color w:val="000000"/>
        </w:rPr>
        <w:t>A hivatalos iratokban a teljes elnevezést és a „MAX Kamara” rövid nevet együttesen kell rögzíteni. A „MAX” önálló használatát védett kamarai megjelölésként célszerű szabályozni.</w:t>
      </w:r>
    </w:p>
    <w:p>
      <w:pPr>
        <w:pStyle w:val="Heading2"/>
      </w:pPr>
      <w:r>
        <w:rPr>
          <w:rFonts w:ascii="Times New Roman" w:hAnsi="Times New Roman" w:eastAsia="Times New Roman"/>
          <w:color w:val="000000"/>
        </w:rPr>
        <w:t>4.2. Jogállás</w:t>
      </w:r>
    </w:p>
    <w:p>
      <w:pPr>
        <w:spacing w:after="120"/>
        <w:ind w:firstLine="397"/>
      </w:pPr>
      <w:r>
        <w:rPr>
          <w:rFonts w:ascii="Times New Roman" w:hAnsi="Times New Roman" w:eastAsia="Times New Roman"/>
          <w:b w:val="0"/>
          <w:i w:val="0"/>
          <w:color w:val="000000"/>
        </w:rPr>
        <w:t>A Kamara törvénnyel létrehozott, önkormányzattal rendelkező köztestület legyen. Saját szabályzatot alkot, nyilvántartást vezet, közigazgatási hatósági ügyekben jár el, szakmai önszabályozást végez és közfeladatokat lát el. A törvényességi felügyeletet a gazdaságpolitikáért és adópolitikáért felelős miniszter gyakorolja, szakmai döntéseibe azonban nem avatkozhat be.</w:t>
      </w:r>
    </w:p>
    <w:p>
      <w:pPr>
        <w:pStyle w:val="Heading2"/>
      </w:pPr>
      <w:r>
        <w:rPr>
          <w:rFonts w:ascii="Times New Roman" w:hAnsi="Times New Roman" w:eastAsia="Times New Roman"/>
          <w:color w:val="000000"/>
        </w:rPr>
        <w:t>4.3. Tagsági rendszer</w:t>
      </w:r>
    </w:p>
    <w:p>
      <w:pPr>
        <w:spacing w:after="120"/>
        <w:ind w:firstLine="397"/>
      </w:pPr>
      <w:r>
        <w:rPr>
          <w:rFonts w:ascii="Times New Roman" w:hAnsi="Times New Roman" w:eastAsia="Times New Roman"/>
          <w:b w:val="0"/>
          <w:i w:val="0"/>
          <w:color w:val="000000"/>
        </w:rPr>
        <w:t>A tagsági rendszer három, egymásra épülő szintből áll:</w:t>
      </w:r>
    </w:p>
    <w:p>
      <w:pPr>
        <w:pStyle w:val="ListNumber"/>
        <w:spacing w:after="60"/>
      </w:pPr>
      <w:r>
        <w:rPr>
          <w:rFonts w:ascii="Times New Roman" w:hAnsi="Times New Roman" w:eastAsia="Times New Roman"/>
          <w:color w:val="000000"/>
        </w:rPr>
        <w:t>Egyéni szakmai tagság: mérlegképes könyvelők, adótanácsadók, adószakértők, okleveles adószakértők, valamint átmeneti szabályok szerint más, igazolt szakmai tevékenységet végző személyek. Az egyéni tagság tagdíjmentes.</w:t>
      </w:r>
    </w:p>
    <w:p>
      <w:pPr>
        <w:pStyle w:val="ListNumber"/>
        <w:spacing w:after="60"/>
      </w:pPr>
      <w:r>
        <w:rPr>
          <w:rFonts w:ascii="Times New Roman" w:hAnsi="Times New Roman" w:eastAsia="Times New Roman"/>
          <w:color w:val="000000"/>
        </w:rPr>
        <w:t>Szolgáltatói tagság: minden természetes személy, egyéni vállalkozó, egyéni cég, gazdasági társaság, szövetkezet vagy más szervezet, amely más személy részére üzletszerűen könyvviteli, bérszámfejtési, bevalláskészítési vagy adótanácsadási szolgáltatást nyújt. A szolgáltatói tag sávos kamarai működési hozzájárulást fizet.</w:t>
      </w:r>
    </w:p>
    <w:p>
      <w:pPr>
        <w:pStyle w:val="ListNumber"/>
        <w:spacing w:after="60"/>
      </w:pPr>
      <w:r>
        <w:rPr>
          <w:rFonts w:ascii="Times New Roman" w:hAnsi="Times New Roman" w:eastAsia="Times New Roman"/>
          <w:color w:val="000000"/>
        </w:rPr>
        <w:t>KFI-jogállás: a szolgáltató irodák kötelező vagy önként vállalt, emelt felelősségű szakmai minősítése.</w:t>
      </w:r>
    </w:p>
    <w:p>
      <w:pPr>
        <w:pStyle w:val="Heading2"/>
      </w:pPr>
      <w:r>
        <w:rPr>
          <w:rFonts w:ascii="Times New Roman" w:hAnsi="Times New Roman" w:eastAsia="Times New Roman"/>
          <w:color w:val="000000"/>
        </w:rPr>
        <w:t>4.4. A Kamara fő feladatai</w:t>
      </w:r>
    </w:p>
    <w:p>
      <w:pPr>
        <w:pStyle w:val="ListBullet"/>
        <w:spacing w:after="60"/>
      </w:pPr>
      <w:r>
        <w:rPr>
          <w:rFonts w:ascii="Times New Roman" w:hAnsi="Times New Roman" w:eastAsia="Times New Roman"/>
          <w:color w:val="000000"/>
        </w:rPr>
        <w:t>az egyéni és szolgáltatói nyilvántartás vezetése;</w:t>
      </w:r>
    </w:p>
    <w:p>
      <w:pPr>
        <w:pStyle w:val="ListBullet"/>
        <w:spacing w:after="60"/>
      </w:pPr>
      <w:r>
        <w:rPr>
          <w:rFonts w:ascii="Times New Roman" w:hAnsi="Times New Roman" w:eastAsia="Times New Roman"/>
          <w:color w:val="000000"/>
        </w:rPr>
        <w:t>a jogosultságok engedélyezése, szüneteltetése, korlátozása és megszüntetése;</w:t>
      </w:r>
    </w:p>
    <w:p>
      <w:pPr>
        <w:pStyle w:val="ListBullet"/>
        <w:spacing w:after="60"/>
      </w:pPr>
      <w:r>
        <w:rPr>
          <w:rFonts w:ascii="Times New Roman" w:hAnsi="Times New Roman" w:eastAsia="Times New Roman"/>
          <w:color w:val="000000"/>
        </w:rPr>
        <w:t>a KFI-jogállás megadása és felügyelete;</w:t>
      </w:r>
    </w:p>
    <w:p>
      <w:pPr>
        <w:pStyle w:val="ListBullet"/>
        <w:spacing w:after="60"/>
      </w:pPr>
      <w:r>
        <w:rPr>
          <w:rFonts w:ascii="Times New Roman" w:hAnsi="Times New Roman" w:eastAsia="Times New Roman"/>
          <w:color w:val="000000"/>
        </w:rPr>
        <w:t>a felelős szakmai vezetők nyilvántartása;</w:t>
      </w:r>
    </w:p>
    <w:p>
      <w:pPr>
        <w:pStyle w:val="ListBullet"/>
        <w:spacing w:after="60"/>
      </w:pPr>
      <w:r>
        <w:rPr>
          <w:rFonts w:ascii="Times New Roman" w:hAnsi="Times New Roman" w:eastAsia="Times New Roman"/>
          <w:color w:val="000000"/>
        </w:rPr>
        <w:t>a kötelező felelősségbiztosítás és a kamarai kártalanítási alap működtetése;</w:t>
      </w:r>
    </w:p>
    <w:p>
      <w:pPr>
        <w:pStyle w:val="ListBullet"/>
        <w:spacing w:after="60"/>
      </w:pPr>
      <w:r>
        <w:rPr>
          <w:rFonts w:ascii="Times New Roman" w:hAnsi="Times New Roman" w:eastAsia="Times New Roman"/>
          <w:color w:val="000000"/>
        </w:rPr>
        <w:t>a szakmai és etikai szabályzat, az adatvagyon-kezelési és iratátadási szabályzat megalkotása;</w:t>
      </w:r>
    </w:p>
    <w:p>
      <w:pPr>
        <w:pStyle w:val="ListBullet"/>
        <w:spacing w:after="60"/>
      </w:pPr>
      <w:r>
        <w:rPr>
          <w:rFonts w:ascii="Times New Roman" w:hAnsi="Times New Roman" w:eastAsia="Times New Roman"/>
          <w:color w:val="000000"/>
        </w:rPr>
        <w:t>a szolgáltatói minőségellenőrzés és kockázati alapú helyszíni ellenőrzés;</w:t>
      </w:r>
    </w:p>
    <w:p>
      <w:pPr>
        <w:pStyle w:val="ListBullet"/>
        <w:spacing w:after="60"/>
      </w:pPr>
      <w:r>
        <w:rPr>
          <w:rFonts w:ascii="Times New Roman" w:hAnsi="Times New Roman" w:eastAsia="Times New Roman"/>
          <w:color w:val="000000"/>
        </w:rPr>
        <w:t>a panaszkezelés, közvetítés és fegyelmi eljárás;</w:t>
      </w:r>
    </w:p>
    <w:p>
      <w:pPr>
        <w:pStyle w:val="ListBullet"/>
        <w:spacing w:after="60"/>
      </w:pPr>
      <w:r>
        <w:rPr>
          <w:rFonts w:ascii="Times New Roman" w:hAnsi="Times New Roman" w:eastAsia="Times New Roman"/>
          <w:color w:val="000000"/>
        </w:rPr>
        <w:t>a jogosulatlan szolgáltatás feltárása és bejelentése;</w:t>
      </w:r>
    </w:p>
    <w:p>
      <w:pPr>
        <w:pStyle w:val="ListBullet"/>
        <w:spacing w:after="60"/>
      </w:pPr>
      <w:r>
        <w:rPr>
          <w:rFonts w:ascii="Times New Roman" w:hAnsi="Times New Roman" w:eastAsia="Times New Roman"/>
          <w:color w:val="000000"/>
        </w:rPr>
        <w:t>a mérlegképes könyvelői, adótanácsadói és kapcsolódó képesítések vizsgarendszerének kialakítása;</w:t>
      </w:r>
    </w:p>
    <w:p>
      <w:pPr>
        <w:pStyle w:val="ListBullet"/>
        <w:spacing w:after="60"/>
      </w:pPr>
      <w:r>
        <w:rPr>
          <w:rFonts w:ascii="Times New Roman" w:hAnsi="Times New Roman" w:eastAsia="Times New Roman"/>
          <w:color w:val="000000"/>
        </w:rPr>
        <w:t>a szakmai továbbképzések minősítése és ellenőrzése;</w:t>
      </w:r>
    </w:p>
    <w:p>
      <w:pPr>
        <w:pStyle w:val="ListBullet"/>
        <w:spacing w:after="60"/>
      </w:pPr>
      <w:r>
        <w:rPr>
          <w:rFonts w:ascii="Times New Roman" w:hAnsi="Times New Roman" w:eastAsia="Times New Roman"/>
          <w:color w:val="000000"/>
        </w:rPr>
        <w:t>a jogalkotás és az adóhatósági informatikai fejlesztések szakmai véleményezése;</w:t>
      </w:r>
    </w:p>
    <w:p>
      <w:pPr>
        <w:pStyle w:val="ListBullet"/>
        <w:spacing w:after="60"/>
      </w:pPr>
      <w:r>
        <w:rPr>
          <w:rFonts w:ascii="Times New Roman" w:hAnsi="Times New Roman" w:eastAsia="Times New Roman"/>
          <w:color w:val="000000"/>
        </w:rPr>
        <w:t>a pénzmosás-megelőzési szakmai segítségnyújtás, valódi kockázati minták és felismerési útmutatók kidolgozása;</w:t>
      </w:r>
    </w:p>
    <w:p>
      <w:pPr>
        <w:pStyle w:val="ListBullet"/>
        <w:spacing w:after="60"/>
      </w:pPr>
      <w:r>
        <w:rPr>
          <w:rFonts w:ascii="Times New Roman" w:hAnsi="Times New Roman" w:eastAsia="Times New Roman"/>
          <w:color w:val="000000"/>
        </w:rPr>
        <w:t>nyilvános szolgáltatókereső és díjtájékoztató működtetése.</w:t>
      </w:r>
    </w:p>
    <w:p>
      <w:pPr>
        <w:pStyle w:val="Heading1"/>
      </w:pPr>
      <w:r>
        <w:rPr>
          <w:rFonts w:ascii="Times New Roman" w:hAnsi="Times New Roman" w:eastAsia="Times New Roman"/>
          <w:color w:val="000000"/>
        </w:rPr>
        <w:t>5. A Korlátlan Felelősségű Iroda (KFI)</w:t>
      </w:r>
    </w:p>
    <w:p>
      <w:pPr>
        <w:pStyle w:val="Heading2"/>
      </w:pPr>
      <w:r>
        <w:rPr>
          <w:rFonts w:ascii="Times New Roman" w:hAnsi="Times New Roman" w:eastAsia="Times New Roman"/>
          <w:color w:val="000000"/>
        </w:rPr>
        <w:t>5.1. A KFI jogi természete</w:t>
      </w:r>
    </w:p>
    <w:p>
      <w:pPr>
        <w:spacing w:after="120"/>
        <w:ind w:firstLine="397"/>
      </w:pPr>
      <w:r>
        <w:rPr>
          <w:rFonts w:ascii="Times New Roman" w:hAnsi="Times New Roman" w:eastAsia="Times New Roman"/>
          <w:b w:val="0"/>
          <w:i w:val="0"/>
          <w:color w:val="000000"/>
        </w:rPr>
        <w:t>A KFI nem új gazdasági társasági forma. A szolgáltató továbbra is működhet egyéni vállalkozóként, egyéni cégként, betéti társaságként, közkereseti társaságként, korlátolt felelősségű társaságként vagy részvénytársaságként. A KFI a szolgáltató nevéhez kapcsolódó, nyilvántartott szakmai jogállás, amelyet a Kamara ad meg, és amely a társasági forma felett külön szakmai felelősségi rendszert hoz létre.</w:t>
      </w:r>
    </w:p>
    <w:p>
      <w:pPr>
        <w:pStyle w:val="Heading2"/>
      </w:pPr>
      <w:r>
        <w:rPr>
          <w:rFonts w:ascii="Times New Roman" w:hAnsi="Times New Roman" w:eastAsia="Times New Roman"/>
          <w:color w:val="000000"/>
        </w:rPr>
        <w:t>5.2. Kötelező KFI-kör</w:t>
      </w:r>
    </w:p>
    <w:p>
      <w:pPr>
        <w:spacing w:after="120"/>
        <w:ind w:firstLine="397"/>
      </w:pPr>
      <w:r>
        <w:rPr>
          <w:rFonts w:ascii="Times New Roman" w:hAnsi="Times New Roman" w:eastAsia="Times New Roman"/>
          <w:b w:val="0"/>
          <w:i w:val="0"/>
          <w:color w:val="000000"/>
        </w:rPr>
        <w:t>A végleges határértékeket hatásvizsgálat után kell meghatározni. A törvény munkaváltozata szerint KFI-jogállás szükséges annak a szolgáltatónak, amely az alábbi feltételek közül legalább egynek megfelel:</w:t>
      </w:r>
    </w:p>
    <w:p>
      <w:pPr>
        <w:pStyle w:val="ListBullet"/>
        <w:spacing w:after="60"/>
      </w:pPr>
      <w:r>
        <w:rPr>
          <w:rFonts w:ascii="Times New Roman" w:hAnsi="Times New Roman" w:eastAsia="Times New Roman"/>
          <w:color w:val="000000"/>
        </w:rPr>
        <w:t>legalább 25, folyamatosan ellátott vállalkozói ügyféllel rendelkezik;</w:t>
      </w:r>
    </w:p>
    <w:p>
      <w:pPr>
        <w:pStyle w:val="ListBullet"/>
        <w:spacing w:after="60"/>
      </w:pPr>
      <w:r>
        <w:rPr>
          <w:rFonts w:ascii="Times New Roman" w:hAnsi="Times New Roman" w:eastAsia="Times New Roman"/>
          <w:color w:val="000000"/>
        </w:rPr>
        <w:t>éves könyvviteli, bérszámfejtési és adótanácsadási nettó árbevétele meghaladja a 30 millió forintot;</w:t>
      </w:r>
    </w:p>
    <w:p>
      <w:pPr>
        <w:pStyle w:val="ListBullet"/>
        <w:spacing w:after="60"/>
      </w:pPr>
      <w:r>
        <w:rPr>
          <w:rFonts w:ascii="Times New Roman" w:hAnsi="Times New Roman" w:eastAsia="Times New Roman"/>
          <w:color w:val="000000"/>
        </w:rPr>
        <w:t>legalább két, ügyfélmunkát végző szakmai közreműködőt foglalkoztat vagy vesz igénybe;</w:t>
      </w:r>
    </w:p>
    <w:p>
      <w:pPr>
        <w:pStyle w:val="ListBullet"/>
        <w:spacing w:after="60"/>
      </w:pPr>
      <w:r>
        <w:rPr>
          <w:rFonts w:ascii="Times New Roman" w:hAnsi="Times New Roman" w:eastAsia="Times New Roman"/>
          <w:color w:val="000000"/>
        </w:rPr>
        <w:t>legalább 50 adózó tekintetében állandó adóhatósági meghatalmazással rendelkezik;</w:t>
      </w:r>
    </w:p>
    <w:p>
      <w:pPr>
        <w:pStyle w:val="ListBullet"/>
        <w:spacing w:after="60"/>
      </w:pPr>
      <w:r>
        <w:rPr>
          <w:rFonts w:ascii="Times New Roman" w:hAnsi="Times New Roman" w:eastAsia="Times New Roman"/>
          <w:color w:val="000000"/>
        </w:rPr>
        <w:t>a Kamara kockázati besorolása alapján jelentős közérdekű szolgáltatói körbe tartozik.</w:t>
      </w:r>
    </w:p>
    <w:p>
      <w:pPr>
        <w:spacing w:after="120"/>
        <w:ind w:firstLine="397"/>
      </w:pPr>
      <w:r>
        <w:rPr>
          <w:rFonts w:ascii="Times New Roman" w:hAnsi="Times New Roman" w:eastAsia="Times New Roman"/>
          <w:b w:val="0"/>
          <w:i w:val="0"/>
          <w:color w:val="000000"/>
        </w:rPr>
        <w:t>Az egyszemélyes, kis ügyfélkörű szolgáltató önként kérheti a KFI-jogállást. A kisebb szolgáltatók kötelező biztosítási és nyilvántartási kötelezettsége ettől függetlenül fennáll.</w:t>
      </w:r>
    </w:p>
    <w:p>
      <w:pPr>
        <w:pStyle w:val="Heading2"/>
      </w:pPr>
      <w:r>
        <w:rPr>
          <w:rFonts w:ascii="Times New Roman" w:hAnsi="Times New Roman" w:eastAsia="Times New Roman"/>
          <w:color w:val="000000"/>
        </w:rPr>
        <w:t>5.3. A korlátlan felelősség értelmezése</w:t>
      </w:r>
    </w:p>
    <w:p>
      <w:pPr>
        <w:spacing w:after="120"/>
        <w:ind w:firstLine="397"/>
      </w:pPr>
      <w:r>
        <w:rPr>
          <w:rFonts w:ascii="Times New Roman" w:hAnsi="Times New Roman" w:eastAsia="Times New Roman"/>
          <w:b w:val="0"/>
          <w:i w:val="0"/>
          <w:color w:val="000000"/>
        </w:rPr>
        <w:t>A jelenlegi társasági jogban a korlátolt felelősség áttörése kivételes, visszaélésszerű tagi vagy vezetői magatartáshoz kötött, és külön bizonyítást igényel. A KFI ezzel szemben előre vállalt, törvényen alapuló, szakmai helytállási rend. A KFI felelős szakmai tagjai a szolgáltatóval együtt, mögöttesen és egyetemlegesen felelnek a jogerősen megállapított, szakmai szolgáltatásból eredő kárért, ha azt a szolgáltató vagyona, a biztosítás és a kamarai alap nem fedezi.</w:t>
      </w:r>
    </w:p>
    <w:p>
      <w:pPr>
        <w:spacing w:after="120"/>
        <w:ind w:firstLine="397"/>
      </w:pPr>
      <w:r>
        <w:rPr>
          <w:rFonts w:ascii="Times New Roman" w:hAnsi="Times New Roman" w:eastAsia="Times New Roman"/>
          <w:b w:val="0"/>
          <w:i w:val="0"/>
          <w:color w:val="000000"/>
        </w:rPr>
        <w:t>A felelősség nem terjed ki a szolgáltató bankhitelére, bérleti díjára, szállítói tartozására, munkabérére vagy más általános üzleti kötelezettségére. Nem terjed ki arra a kárra sem, amelyet az ügyfél szándékos megtévesztése, adateltitkolása, hamis okirata vagy a szolgáltató írásbeli figyelmeztetése ellenére fenntartott jogsértő döntése okozott.</w:t>
      </w:r>
    </w:p>
    <w:p>
      <w:pPr>
        <w:pStyle w:val="Heading2"/>
      </w:pPr>
      <w:r>
        <w:rPr>
          <w:rFonts w:ascii="Times New Roman" w:hAnsi="Times New Roman" w:eastAsia="Times New Roman"/>
          <w:color w:val="000000"/>
        </w:rPr>
        <w:t>5.4. A felelősség négy fedezeti szintje</w:t>
      </w:r>
    </w:p>
    <w:p>
      <w:pPr>
        <w:pStyle w:val="ListNumber"/>
        <w:spacing w:after="60"/>
      </w:pPr>
      <w:r>
        <w:rPr>
          <w:rFonts w:ascii="Times New Roman" w:hAnsi="Times New Roman" w:eastAsia="Times New Roman"/>
          <w:color w:val="000000"/>
        </w:rPr>
        <w:t>A szolgáltató szervezet saját vagyona.</w:t>
      </w:r>
    </w:p>
    <w:p>
      <w:pPr>
        <w:pStyle w:val="ListNumber"/>
        <w:spacing w:after="60"/>
      </w:pPr>
      <w:r>
        <w:rPr>
          <w:rFonts w:ascii="Times New Roman" w:hAnsi="Times New Roman" w:eastAsia="Times New Roman"/>
          <w:color w:val="000000"/>
        </w:rPr>
        <w:t>Kötelező szakmai felelősségbiztosítás, ügyfélszámhoz, árbevételhez és kockázathoz igazított biztosítási összeggel.</w:t>
      </w:r>
    </w:p>
    <w:p>
      <w:pPr>
        <w:pStyle w:val="ListNumber"/>
        <w:spacing w:after="60"/>
      </w:pPr>
      <w:r>
        <w:rPr>
          <w:rFonts w:ascii="Times New Roman" w:hAnsi="Times New Roman" w:eastAsia="Times New Roman"/>
          <w:color w:val="000000"/>
        </w:rPr>
        <w:t>A MAX Kamara kártalanítási alapja, törvényi felső határral és visszakövetelési joggal.</w:t>
      </w:r>
    </w:p>
    <w:p>
      <w:pPr>
        <w:pStyle w:val="ListNumber"/>
        <w:spacing w:after="60"/>
      </w:pPr>
      <w:r>
        <w:rPr>
          <w:rFonts w:ascii="Times New Roman" w:hAnsi="Times New Roman" w:eastAsia="Times New Roman"/>
          <w:color w:val="000000"/>
        </w:rPr>
        <w:t>A KFI felelős szakmai tagjainak mögöttes, korlátlan és egyetemleges magánvagyoni helytállása.</w:t>
      </w:r>
    </w:p>
    <w:p>
      <w:pPr>
        <w:pStyle w:val="Heading2"/>
      </w:pPr>
      <w:r>
        <w:rPr>
          <w:rFonts w:ascii="Times New Roman" w:hAnsi="Times New Roman" w:eastAsia="Times New Roman"/>
          <w:color w:val="000000"/>
        </w:rPr>
        <w:t>5.5. Kft.-k és részvénytársaságok</w:t>
      </w:r>
    </w:p>
    <w:p>
      <w:pPr>
        <w:spacing w:after="120"/>
        <w:ind w:firstLine="397"/>
      </w:pPr>
      <w:r>
        <w:rPr>
          <w:rFonts w:ascii="Times New Roman" w:hAnsi="Times New Roman" w:eastAsia="Times New Roman"/>
          <w:b w:val="0"/>
          <w:i w:val="0"/>
          <w:color w:val="000000"/>
        </w:rPr>
        <w:t>A korlátolt felelősségű társaság és a részvénytársaság megtarthatja társasági formáját. KFI-ként azonban legalább egy, a szolgáltatás szakmai irányításában ténylegesen részt vevő, kamarai nyilvántartásban szereplő felelős szakmai tagot kell kijelölnie. Nagyobb szolgáltatónál több felelős szakmai tag és szakterületi felelős írható elő. A pusztán névleges szakmai vezető kijelölése tilos.</w:t>
      </w:r>
    </w:p>
    <w:p>
      <w:pPr>
        <w:pStyle w:val="Heading2"/>
      </w:pPr>
      <w:r>
        <w:rPr>
          <w:rFonts w:ascii="Times New Roman" w:hAnsi="Times New Roman" w:eastAsia="Times New Roman"/>
          <w:color w:val="000000"/>
        </w:rPr>
        <w:t>5.6. Névhasználat</w:t>
      </w:r>
    </w:p>
    <w:p>
      <w:pPr>
        <w:spacing w:after="120"/>
        <w:ind w:firstLine="397"/>
      </w:pPr>
      <w:r>
        <w:rPr>
          <w:rFonts w:ascii="Times New Roman" w:hAnsi="Times New Roman" w:eastAsia="Times New Roman"/>
          <w:b w:val="0"/>
          <w:i w:val="0"/>
          <w:color w:val="000000"/>
        </w:rPr>
        <w:t>A „KFI” és a „Korlátlan Felelősségű Iroda” megjelölést kizárólag kamarai nyilvántartásban szereplő szolgáltató használhatja. A társasági forma megjelölése megmarad, így például: „Minta Könyvelőiroda Kft. – KFI”. A KFI-megjelölést a cégnévben, az egyéni vállalkozói megnevezésben, a honlapon, az ajánlatban, a szerződésben, a számlán és az elektronikus aláírási záradékban fel kell tüntetni. A kötelező cégnévi átvezetéshez legalább kétéves átmeneti idő szükséges.</w:t>
      </w:r>
    </w:p>
    <w:p>
      <w:pPr>
        <w:pStyle w:val="Heading1"/>
      </w:pPr>
      <w:r>
        <w:rPr>
          <w:rFonts w:ascii="Times New Roman" w:hAnsi="Times New Roman" w:eastAsia="Times New Roman"/>
          <w:color w:val="000000"/>
        </w:rPr>
        <w:t>6. Piacfeltárás és induló nyilvántartás</w:t>
      </w:r>
    </w:p>
    <w:p>
      <w:pPr>
        <w:pStyle w:val="Heading2"/>
      </w:pPr>
      <w:r>
        <w:rPr>
          <w:rFonts w:ascii="Times New Roman" w:hAnsi="Times New Roman" w:eastAsia="Times New Roman"/>
          <w:color w:val="000000"/>
        </w:rPr>
        <w:t>6.1. A NAV-adatok felhasználása</w:t>
      </w:r>
    </w:p>
    <w:p>
      <w:pPr>
        <w:spacing w:after="120"/>
        <w:ind w:firstLine="397"/>
      </w:pPr>
      <w:r>
        <w:rPr>
          <w:rFonts w:ascii="Times New Roman" w:hAnsi="Times New Roman" w:eastAsia="Times New Roman"/>
          <w:b w:val="0"/>
          <w:i w:val="0"/>
          <w:color w:val="000000"/>
        </w:rPr>
        <w:t>A Kamara induló szolgáltatói jegyzékét a NAV, a Magyar Államkincstár, a cégnyilvántartás és az egyéni vállalkozói nyilvántartás adatainak összekapcsolásával kell előkészíteni. Az előzetes kiválasztás alapja lehet különösen:</w:t>
      </w:r>
    </w:p>
    <w:p>
      <w:pPr>
        <w:pStyle w:val="ListBullet"/>
        <w:spacing w:after="60"/>
      </w:pPr>
      <w:r>
        <w:rPr>
          <w:rFonts w:ascii="Times New Roman" w:hAnsi="Times New Roman" w:eastAsia="Times New Roman"/>
          <w:color w:val="000000"/>
        </w:rPr>
        <w:t>állandó adóhatósági meghatalmazások száma és tartóssága;</w:t>
      </w:r>
    </w:p>
    <w:p>
      <w:pPr>
        <w:pStyle w:val="ListBullet"/>
        <w:spacing w:after="60"/>
      </w:pPr>
      <w:r>
        <w:rPr>
          <w:rFonts w:ascii="Times New Roman" w:hAnsi="Times New Roman" w:eastAsia="Times New Roman"/>
          <w:color w:val="000000"/>
        </w:rPr>
        <w:t>bevallások és adatszolgáltatások rendszeres beküldése több, egymástól független adózó részére;</w:t>
      </w:r>
    </w:p>
    <w:p>
      <w:pPr>
        <w:pStyle w:val="ListBullet"/>
        <w:spacing w:after="60"/>
      </w:pPr>
      <w:r>
        <w:rPr>
          <w:rFonts w:ascii="Times New Roman" w:hAnsi="Times New Roman" w:eastAsia="Times New Roman"/>
          <w:color w:val="000000"/>
        </w:rPr>
        <w:t>könyvelési, bérszámfejtési vagy adótanácsadási szolgáltatásról kibocsátott számlák;</w:t>
      </w:r>
    </w:p>
    <w:p>
      <w:pPr>
        <w:pStyle w:val="ListBullet"/>
        <w:spacing w:after="60"/>
      </w:pPr>
      <w:r>
        <w:rPr>
          <w:rFonts w:ascii="Times New Roman" w:hAnsi="Times New Roman" w:eastAsia="Times New Roman"/>
          <w:color w:val="000000"/>
        </w:rPr>
        <w:t>a 6920. és kapcsolódó tevékenységi besorolások;</w:t>
      </w:r>
    </w:p>
    <w:p>
      <w:pPr>
        <w:pStyle w:val="ListBullet"/>
        <w:spacing w:after="60"/>
      </w:pPr>
      <w:r>
        <w:rPr>
          <w:rFonts w:ascii="Times New Roman" w:hAnsi="Times New Roman" w:eastAsia="Times New Roman"/>
          <w:color w:val="000000"/>
        </w:rPr>
        <w:t>mérlegképes könyvelői, adótanácsadói, adószakértői és könyvvizsgálói nyilvántartási adatok;</w:t>
      </w:r>
    </w:p>
    <w:p>
      <w:pPr>
        <w:pStyle w:val="ListBullet"/>
        <w:spacing w:after="60"/>
      </w:pPr>
      <w:r>
        <w:rPr>
          <w:rFonts w:ascii="Times New Roman" w:hAnsi="Times New Roman" w:eastAsia="Times New Roman"/>
          <w:color w:val="000000"/>
        </w:rPr>
        <w:t>cégkapus, képviseleti és meghatalmazotti kapcsolatok;</w:t>
      </w:r>
    </w:p>
    <w:p>
      <w:pPr>
        <w:pStyle w:val="ListBullet"/>
        <w:spacing w:after="60"/>
      </w:pPr>
      <w:r>
        <w:rPr>
          <w:rFonts w:ascii="Times New Roman" w:hAnsi="Times New Roman" w:eastAsia="Times New Roman"/>
          <w:color w:val="000000"/>
        </w:rPr>
        <w:t>a pénzmosás-megelőzési felügyeleti nyilvántartások.</w:t>
      </w:r>
    </w:p>
    <w:p>
      <w:pPr>
        <w:spacing w:after="120"/>
        <w:ind w:firstLine="397"/>
      </w:pPr>
      <w:r>
        <w:rPr>
          <w:rFonts w:ascii="Times New Roman" w:hAnsi="Times New Roman" w:eastAsia="Times New Roman"/>
          <w:b w:val="0"/>
          <w:i w:val="0"/>
          <w:color w:val="000000"/>
        </w:rPr>
        <w:t>Az adatkapcsolás nem eredményezhet automatikus, jogorvoslat nélküli besorolást. Az érintett 90 napon belül nyilatkozhat arról, hogy piaci szolgáltató, belső munkavállaló, egyetlen megbízó részére dolgozó közreműködő, külföldi szolgáltató, szünetelő vállalkozó vagy tévesen azonosított személy.</w:t>
      </w:r>
    </w:p>
    <w:p>
      <w:pPr>
        <w:pStyle w:val="Heading2"/>
      </w:pPr>
      <w:r>
        <w:rPr>
          <w:rFonts w:ascii="Times New Roman" w:hAnsi="Times New Roman" w:eastAsia="Times New Roman"/>
          <w:color w:val="000000"/>
        </w:rPr>
        <w:t>6.2. A szolgáltatás fogalmi meghatározása</w:t>
      </w:r>
    </w:p>
    <w:p>
      <w:pPr>
        <w:spacing w:after="120"/>
        <w:ind w:firstLine="397"/>
      </w:pPr>
      <w:r>
        <w:rPr>
          <w:rFonts w:ascii="Times New Roman" w:hAnsi="Times New Roman" w:eastAsia="Times New Roman"/>
          <w:b w:val="0"/>
          <w:i w:val="0"/>
          <w:color w:val="000000"/>
        </w:rPr>
        <w:t>A törvénynek a tevékenység valós tartalma alapján kell meghatároznia a kamarai kötelezettséget. Nem kerülhető meg a nyilvántartás azzal, hogy a szolgáltató „ügyviteli segítség”, „gazdasági tanácsadás”, „adatfeldolgozás” vagy más elnevezést használ. A döntő kérdés az, hogy más személy gazdasági eseményeit rendszeresen rögzíti-e, nyilvántartásait összeállítja-e, bevallását elkészíti vagy benyújtja-e, bérét számfejti-e, illetve adózási döntéséhez személyre szabott szakmai álláspontot ad-e.</w:t>
      </w:r>
    </w:p>
    <w:p>
      <w:pPr>
        <w:pStyle w:val="Heading1"/>
      </w:pPr>
      <w:r>
        <w:rPr>
          <w:rFonts w:ascii="Times New Roman" w:hAnsi="Times New Roman" w:eastAsia="Times New Roman"/>
          <w:color w:val="000000"/>
        </w:rPr>
        <w:t>7. Oktatási és vizsgáztatási reform</w:t>
      </w:r>
    </w:p>
    <w:p>
      <w:pPr>
        <w:pStyle w:val="Heading2"/>
      </w:pPr>
      <w:r>
        <w:rPr>
          <w:rFonts w:ascii="Times New Roman" w:hAnsi="Times New Roman" w:eastAsia="Times New Roman"/>
          <w:color w:val="000000"/>
        </w:rPr>
        <w:t>7.1. A vizsgáztatási jog átvétele</w:t>
      </w:r>
    </w:p>
    <w:p>
      <w:pPr>
        <w:spacing w:after="120"/>
        <w:ind w:firstLine="397"/>
      </w:pPr>
      <w:r>
        <w:rPr>
          <w:rFonts w:ascii="Times New Roman" w:hAnsi="Times New Roman" w:eastAsia="Times New Roman"/>
          <w:b w:val="0"/>
          <w:i w:val="0"/>
          <w:color w:val="000000"/>
        </w:rPr>
        <w:t>A hosszú távú cél, hogy a mérlegképes könyvelői, adótanácsadói, adószakértői és okleveles adószakértői képzések szakmai követelményeinek meghatározása, a vizsgafeladatok összeállítása, a vizsgabizottságok működtetése és a továbbképzések minősítése a minisztériumi ügyintézésből fokozatosan a Kamarához kerüljön. Az állam megőrzi a jogalkotási, törvényességi és végső felügyeleti szerepét, a szakmai mérés azonban a szakma intézményéhez kerül.</w:t>
      </w:r>
    </w:p>
    <w:p>
      <w:pPr>
        <w:pStyle w:val="Heading2"/>
      </w:pPr>
      <w:r>
        <w:rPr>
          <w:rFonts w:ascii="Times New Roman" w:hAnsi="Times New Roman" w:eastAsia="Times New Roman"/>
          <w:color w:val="000000"/>
        </w:rPr>
        <w:t>7.2. Új mérlegképes képzési elvek</w:t>
      </w:r>
    </w:p>
    <w:p>
      <w:pPr>
        <w:spacing w:after="120"/>
        <w:ind w:firstLine="397"/>
      </w:pPr>
      <w:r>
        <w:rPr>
          <w:rFonts w:ascii="Times New Roman" w:hAnsi="Times New Roman" w:eastAsia="Times New Roman"/>
          <w:b w:val="0"/>
          <w:i w:val="0"/>
          <w:color w:val="000000"/>
        </w:rPr>
        <w:t>Az új rendszer a használható tudást méri. A vizsga nem elsősorban emlékezetből visszaadott elméleti tételekre, hanem összetett gyakorlati feladatokra épül. A kötelező tárgykörök:</w:t>
      </w:r>
    </w:p>
    <w:p>
      <w:pPr>
        <w:pStyle w:val="ListBullet"/>
        <w:spacing w:after="60"/>
      </w:pPr>
      <w:r>
        <w:rPr>
          <w:rFonts w:ascii="Times New Roman" w:hAnsi="Times New Roman" w:eastAsia="Times New Roman"/>
          <w:color w:val="000000"/>
        </w:rPr>
        <w:t>valós bizonylatok és főkönyvi kivonatok hibakeresése;</w:t>
      </w:r>
    </w:p>
    <w:p>
      <w:pPr>
        <w:pStyle w:val="ListBullet"/>
        <w:spacing w:after="60"/>
      </w:pPr>
      <w:r>
        <w:rPr>
          <w:rFonts w:ascii="Times New Roman" w:hAnsi="Times New Roman" w:eastAsia="Times New Roman"/>
          <w:color w:val="000000"/>
        </w:rPr>
        <w:t>áfa-, társaságiadó-, személyijövedelemadó- és járulékkockázatok felismerése;</w:t>
      </w:r>
    </w:p>
    <w:p>
      <w:pPr>
        <w:pStyle w:val="ListBullet"/>
        <w:spacing w:after="60"/>
      </w:pPr>
      <w:r>
        <w:rPr>
          <w:rFonts w:ascii="Times New Roman" w:hAnsi="Times New Roman" w:eastAsia="Times New Roman"/>
          <w:color w:val="000000"/>
        </w:rPr>
        <w:t>NAV-adatok, online számlaadatok és bevallási adatok egyeztetése;</w:t>
      </w:r>
    </w:p>
    <w:p>
      <w:pPr>
        <w:pStyle w:val="ListBullet"/>
        <w:spacing w:after="60"/>
      </w:pPr>
      <w:r>
        <w:rPr>
          <w:rFonts w:ascii="Times New Roman" w:hAnsi="Times New Roman" w:eastAsia="Times New Roman"/>
          <w:color w:val="000000"/>
        </w:rPr>
        <w:t>bérszámfejtés, társadalombiztosítás és munkaügyi alaphelyzetek;</w:t>
      </w:r>
    </w:p>
    <w:p>
      <w:pPr>
        <w:pStyle w:val="ListBullet"/>
        <w:spacing w:after="60"/>
      </w:pPr>
      <w:r>
        <w:rPr>
          <w:rFonts w:ascii="Times New Roman" w:hAnsi="Times New Roman" w:eastAsia="Times New Roman"/>
          <w:color w:val="000000"/>
        </w:rPr>
        <w:t>beszámolókészítési döntések és számviteli becslések;</w:t>
      </w:r>
    </w:p>
    <w:p>
      <w:pPr>
        <w:pStyle w:val="ListBullet"/>
        <w:spacing w:after="60"/>
      </w:pPr>
      <w:r>
        <w:rPr>
          <w:rFonts w:ascii="Times New Roman" w:hAnsi="Times New Roman" w:eastAsia="Times New Roman"/>
          <w:color w:val="000000"/>
        </w:rPr>
        <w:t>könyvelőprogramok, adatátadás, elektronikus iratkezelés és adatbiztonság;</w:t>
      </w:r>
    </w:p>
    <w:p>
      <w:pPr>
        <w:pStyle w:val="ListBullet"/>
        <w:spacing w:after="60"/>
      </w:pPr>
      <w:r>
        <w:rPr>
          <w:rFonts w:ascii="Times New Roman" w:hAnsi="Times New Roman" w:eastAsia="Times New Roman"/>
          <w:color w:val="000000"/>
        </w:rPr>
        <w:t>ügyfélszerződés, felelősségi határok és bizonyítható szakmai tájékoztatás;</w:t>
      </w:r>
    </w:p>
    <w:p>
      <w:pPr>
        <w:pStyle w:val="ListBullet"/>
        <w:spacing w:after="60"/>
      </w:pPr>
      <w:r>
        <w:rPr>
          <w:rFonts w:ascii="Times New Roman" w:hAnsi="Times New Roman" w:eastAsia="Times New Roman"/>
          <w:color w:val="000000"/>
        </w:rPr>
        <w:t>pénzmosási és adóelkerülési kockázati helyzetek felismerése;</w:t>
      </w:r>
    </w:p>
    <w:p>
      <w:pPr>
        <w:pStyle w:val="ListBullet"/>
        <w:spacing w:after="60"/>
      </w:pPr>
      <w:r>
        <w:rPr>
          <w:rFonts w:ascii="Times New Roman" w:hAnsi="Times New Roman" w:eastAsia="Times New Roman"/>
          <w:color w:val="000000"/>
        </w:rPr>
        <w:t>hatósági ellenőrzésre és jogorvoslatra alkalmas iratanyag összeállítása;</w:t>
      </w:r>
    </w:p>
    <w:p>
      <w:pPr>
        <w:pStyle w:val="ListBullet"/>
        <w:spacing w:after="60"/>
      </w:pPr>
      <w:r>
        <w:rPr>
          <w:rFonts w:ascii="Times New Roman" w:hAnsi="Times New Roman" w:eastAsia="Times New Roman"/>
          <w:color w:val="000000"/>
        </w:rPr>
        <w:t>a könyvelési adatvagyon visszaadása és az iroda folytonossági terve.</w:t>
      </w:r>
    </w:p>
    <w:p>
      <w:pPr>
        <w:pStyle w:val="Heading2"/>
      </w:pPr>
      <w:r>
        <w:rPr>
          <w:rFonts w:ascii="Times New Roman" w:hAnsi="Times New Roman" w:eastAsia="Times New Roman"/>
          <w:color w:val="000000"/>
        </w:rPr>
        <w:t>7.3. Vizsgaminőség és összeférhetetlenség</w:t>
      </w:r>
    </w:p>
    <w:p>
      <w:pPr>
        <w:spacing w:after="120"/>
        <w:ind w:firstLine="397"/>
      </w:pPr>
      <w:r>
        <w:rPr>
          <w:rFonts w:ascii="Times New Roman" w:hAnsi="Times New Roman" w:eastAsia="Times New Roman"/>
          <w:b w:val="0"/>
          <w:i w:val="0"/>
          <w:color w:val="000000"/>
        </w:rPr>
        <w:t>A vizsgarendszerben külön kell választani a képzést, a vizsgafeladatok elkészítését, a vizsgáztatást és a jogorvoslatot. A vizsgabizottságok tagjait nyilvános névjegyzékből, összeférhetetlenségi nyilatkozat mellett kell kijelölni. A feladatokat rendszeresen utólagos mérési vizsgálatnak kell alávetni: valóban szakmai tudást mértek-e, nem volt-e hibás vagy többértelmű a kérdés, és indokolatlanul nem zártak-e ki alkalmas jelölteket.</w:t>
      </w:r>
    </w:p>
    <w:p>
      <w:pPr>
        <w:pStyle w:val="Heading2"/>
      </w:pPr>
      <w:r>
        <w:rPr>
          <w:rFonts w:ascii="Times New Roman" w:hAnsi="Times New Roman"/>
          <w:b w:val="0"/>
          <w:color w:val="000000"/>
          <w:sz w:val="22"/>
        </w:rPr>
        <w:t>7.4. A mérlegképes könyvelői képesítés szakmai rangjának és duális oktatói jogosultságának rendezése</w:t>
      </w:r>
    </w:p>
    <w:p>
      <w:pPr/>
      <w:r>
        <w:rPr>
          <w:rFonts w:ascii="Times New Roman" w:hAnsi="Times New Roman"/>
          <w:b w:val="0"/>
          <w:color w:val="000000"/>
          <w:sz w:val="22"/>
        </w:rPr>
        <w:t>A kamarai rendszernek nemcsak új kötelezettségeket kell telepítenie a könyvelői szakmára, hanem rendeznie kell azokat a szakmai jogosultságokat is, amelyek a képesítés tartalmához, a tényleges felelősséghez és a megszerzett gyakorlathoz képest indokolatlanul szűkültek. Ennek egyik kézzelfogható példája a mérlegképes könyvelők részvétele a középfokú duális szakirányú oktatásban.</w:t>
      </w:r>
    </w:p>
    <w:p>
      <w:pPr/>
      <w:r>
        <w:rPr>
          <w:rFonts w:ascii="Times New Roman" w:hAnsi="Times New Roman"/>
          <w:b w:val="0"/>
          <w:color w:val="000000"/>
          <w:sz w:val="22"/>
        </w:rPr>
        <w:t>A korábbi Országos Képzési Jegyzékben a 55 344 07 azonosítójú vállalkozási mérlegképes könyvelő emelt szintű szakképesítés-ráépülés volt. A képzés szakmai előképzettségei között szerepelt a 54 344 01 pénzügyi-számviteli ügyintéző szakképesítés is. A későbbi, 04115002 azonosítójú vállalkozási mérlegképes könyvelő programkövetelmény a képesítést az Európai Képesítési Keretrendszer és a Magyar Képesítési Keretrendszer 5. szintjére sorolta. A jelenlegi 607/2023. (XII. 22.) Korm. rendelet szerinti vállalkozási mérlegképes könyvelő hatósági képesítés munkaterületi leírása pedig önálló és teljes körű számviteli munkát, szabályzatalkotást, könyvvezetést, ellenőrzést és adóbevallások készítését foglalja magában.</w:t>
      </w:r>
    </w:p>
    <w:p>
      <w:pPr/>
      <w:r>
        <w:rPr>
          <w:rFonts w:ascii="Times New Roman" w:hAnsi="Times New Roman"/>
          <w:b w:val="0"/>
          <w:color w:val="000000"/>
          <w:sz w:val="22"/>
        </w:rPr>
        <w:t>Ezért szakmailag nehezen indokolható olyan szabályozási eredmény, amelyben a többéves vagy több évtizedes gyakorlattal rendelkező, nyilvántartott mérlegképes könyvelő a pénzügyi-számviteli ügyintézők szakirányú gyakorlati képzésében pusztán a képesítési rendszer átalakulása vagy a képesítés elnevezésének, jogi besorolásának megváltozása miatt nem minősül megfelelő szakirányú szakképzettséggel rendelkező oktatónak.</w:t>
      </w:r>
    </w:p>
    <w:p>
      <w:pPr/>
      <w:r>
        <w:rPr>
          <w:rFonts w:ascii="Times New Roman" w:hAnsi="Times New Roman"/>
          <w:b w:val="0"/>
          <w:color w:val="000000"/>
          <w:sz w:val="22"/>
        </w:rPr>
        <w:t>A hatályos szabályozás ehhez megfelelő kiindulópontot ad. A szakképzésről szóló 2019. évi LXXX. törvény 82. § (1) bekezdés b) pontja a duális képzőhely nyilvántartásba vételének feltételévé teszi a végrehajtási rendeletben meghatározott végzettséggel, szakképesítéssel vagy szakképzettséggel és gyakorlattal rendelkező személy foglalkoztatását. A 12/2020. (II. 7.) Korm. rendelet 242. § (1) bekezdés c) pontja jelenleg legalább középfokú, a vállalt szakmának megfelelő szakirányú szakképzettséget és legalább öt év megfelelő szakmai gyakorlatot követel meg; a d) pont főszabály szerint kamarai gyakorlati oktatói vizsgát is előír.</w:t>
      </w:r>
    </w:p>
    <w:p>
      <w:pPr/>
      <w:r>
        <w:rPr>
          <w:rFonts w:ascii="Times New Roman" w:hAnsi="Times New Roman"/>
          <w:b w:val="0"/>
          <w:color w:val="000000"/>
          <w:sz w:val="22"/>
        </w:rPr>
        <w:t>A javaslat nem e követelmények leépítésére irányul. Az ötéves tényleges szakmai gyakorlatot fenn kell tartani. A frissen megszerzett mérlegképes könyvelői képesítés önmagában ne keletkeztessen automatikus oktatói jogosultságot. A szakmai alkalmasságot a képesítés és az igazolt gyakorlat együttesen, az oktatói alkalmasságot pedig a kamarai gyakorlati oktatói vizsga vagy az annak megfelelő, jogszabályban elfogadott oktatói felkészítés igazolja.</w:t>
      </w:r>
    </w:p>
    <w:p>
      <w:pPr/>
      <w:r>
        <w:rPr>
          <w:rFonts w:ascii="Times New Roman" w:hAnsi="Times New Roman"/>
          <w:b w:val="0"/>
          <w:color w:val="000000"/>
          <w:sz w:val="22"/>
        </w:rPr>
        <w:t>A rendezés lényege ezért az legyen, hogy a könyvviteli szolgáltatást végzők szakmai nyilvántartásában szereplő mérlegképes könyvelőt, aki legalább öt év igazolt, számviteli, könyvviteli, pénzügyi vagy adózási szakmai gyakorlattal rendelkezik, a Gazdálkodás és menedzsment ágazat pénzügyi, számviteli, könyvviteli és adózási tartalmú szakirányú oktatásában a szakmának megfelelő szakirányú szakképzettséggel rendelkező személynek kell tekinteni. Ehhez külön felsőoktatási oklevél vagy adótanácsadói képesítés ne legyen szükséges.</w:t>
      </w:r>
    </w:p>
    <w:p>
      <w:pPr/>
      <w:r>
        <w:rPr>
          <w:rFonts w:ascii="Times New Roman" w:hAnsi="Times New Roman"/>
          <w:b w:val="0"/>
          <w:color w:val="000000"/>
          <w:sz w:val="22"/>
        </w:rPr>
        <w:t>A szabályozásnak szerzettjog-védelmi rendelkezést is tartalmaznia kell. A képzési rendszer, a képesítés elnevezése, azonosítója vagy képesítési keretrendszerbeli besorolása önmagában nem eredményezheti olyan szakmai oktatói jogosultság elvesztését, amelyet az érintett a korábbi szabályok alapján jogszerűen gyakorolt, feltéve, hogy az ötéves szakmai gyakorlat és az oktatói alkalmasság követelménye továbbra is teljesül.</w:t>
      </w:r>
    </w:p>
    <w:p>
      <w:pPr/>
      <w:r>
        <w:rPr>
          <w:rFonts w:ascii="Times New Roman" w:hAnsi="Times New Roman"/>
          <w:b w:val="0"/>
          <w:color w:val="000000"/>
          <w:sz w:val="22"/>
        </w:rPr>
        <w:t>A MAX Kamara feladata e körben kettős lenne. Egyrészt a kamarai szakmai nyilvántartás alapján igazolná a mérlegképes könyvelői jogosultságot és a szakmai gyakorlatot. Másrészt a Magyar Kereskedelmi és Iparkamarával együttműködve részt venne a Gazdálkodás és menedzsment ágazat könyvelési és adózási tartalmú gyakorlati oktatásának szakmai követelményei, valamint az oktatói felkészítés kialakításában. A duális képzőhelyek általános nyilvántartása és ellenőrzése ettől még a szakképzési törvény szerinti gazdasági kamarai rendszerben maradhat.</w:t>
      </w:r>
    </w:p>
    <w:p>
      <w:pPr/>
      <w:r>
        <w:rPr>
          <w:rFonts w:ascii="Times New Roman" w:hAnsi="Times New Roman"/>
          <w:b w:val="0"/>
          <w:color w:val="000000"/>
          <w:sz w:val="22"/>
        </w:rPr>
        <w:t>A szabályozási cél túlmutat egy egyedi jogosultsági problémán. A könyvelői utánpótlás minősége akkor javítható, ha a tanulók a szakmát ténylegesen gyakorló, felelősséget viselő szakemberektől is tanulhatnak. A könyvelői szakma rangját nem elnevezésekkel kell emelni, hanem a tudásához, felelősségéhez és gazdasági szerepéhez illeszkedő jogosultságokkal. Egy valódi könyvelői kamarának ezért nemcsak a szakmai követelményeket és kötelezettségeket kell számon kérnie, hanem a szakma jogait és az utánpótlás képzésében betöltött szerepét is védenie kell.</w:t>
      </w:r>
    </w:p>
    <w:p>
      <w:pPr>
        <w:pStyle w:val="Heading1"/>
      </w:pPr>
      <w:r>
        <w:rPr>
          <w:rFonts w:ascii="Times New Roman" w:hAnsi="Times New Roman" w:eastAsia="Times New Roman"/>
          <w:color w:val="000000"/>
        </w:rPr>
        <w:t>8. Pénzmosás-megelőzés és adóelkerülés elleni együttműködés</w:t>
      </w:r>
    </w:p>
    <w:p>
      <w:pPr>
        <w:spacing w:after="120"/>
        <w:ind w:firstLine="397"/>
      </w:pPr>
      <w:r>
        <w:rPr>
          <w:rFonts w:ascii="Times New Roman" w:hAnsi="Times New Roman" w:eastAsia="Times New Roman"/>
          <w:b w:val="0"/>
          <w:i w:val="0"/>
          <w:color w:val="000000"/>
        </w:rPr>
        <w:t>A könyvelők és külső adótanácsadók az uniós és magyar pénzmosás-megelőzési rendszer kötelezettjei. A Kamara feladata nem lehet pusztán az iratminták és aláírások számonkérése. A FairConto elemzése joggal figyelmeztet arra, hogy a dokumentálási kötelezettség öncélú ellenőrzése elterelheti a figyelmet a tényleges pénzmosási és gazdasági visszaélések felismeréséről.</w:t>
      </w:r>
    </w:p>
    <w:p>
      <w:pPr>
        <w:spacing w:after="120"/>
        <w:ind w:firstLine="397"/>
      </w:pPr>
      <w:r>
        <w:rPr>
          <w:rFonts w:ascii="Times New Roman" w:hAnsi="Times New Roman" w:eastAsia="Times New Roman"/>
          <w:b w:val="0"/>
          <w:i w:val="0"/>
          <w:color w:val="000000"/>
        </w:rPr>
        <w:t>A Kamara ezért központi ügyfél-átvilágítási segédletet, kockázati mintatárat, tényleges tulajdonosi ellenőrzési módszert, szankciós ellenőrzési segítséget, titkosított bejelentési csatornát és névtelen szakmai konzultációt működtet. A kamarai ellenőrzés elsődleges célja a kockázatok feltárása és javítása; bírság csak súlyos, ismételt vagy szándékos mulasztás esetén alkalmazható.</w:t>
      </w:r>
    </w:p>
    <w:p>
      <w:pPr>
        <w:spacing w:after="120"/>
        <w:ind w:firstLine="397"/>
      </w:pPr>
      <w:r>
        <w:rPr>
          <w:rFonts w:ascii="Times New Roman" w:hAnsi="Times New Roman" w:eastAsia="Times New Roman"/>
          <w:b w:val="0"/>
          <w:i w:val="0"/>
          <w:color w:val="000000"/>
        </w:rPr>
        <w:t>A Kamara és a NAV között törvényben szabályozott jelzőrendszer szükséges. A Kamara nem válhat általános adónyomozó szervvé, és nem írhatja elő az ügyfél automatikus feljelentését minden vitatható adózási álláspont esetén. Bejelentési kötelezettség csak törvényben meghatározott, súlyos, bizonyított vagy alaposan valószínűsíthető visszaéléshez kapcsolódhat, az ügyvédi és más hivatásrendi titokhoz hasonló szakmai védelem mellett.</w:t>
      </w:r>
    </w:p>
    <w:p>
      <w:pPr>
        <w:pStyle w:val="Heading1"/>
      </w:pPr>
      <w:r>
        <w:rPr>
          <w:rFonts w:ascii="Times New Roman" w:hAnsi="Times New Roman" w:eastAsia="Times New Roman"/>
          <w:color w:val="000000"/>
        </w:rPr>
        <w:t>9. Uniós jogi megfelelés és engedélyezési út</w:t>
      </w:r>
    </w:p>
    <w:p>
      <w:pPr>
        <w:pStyle w:val="Heading2"/>
      </w:pPr>
      <w:r>
        <w:rPr>
          <w:rFonts w:ascii="Times New Roman" w:hAnsi="Times New Roman" w:eastAsia="Times New Roman"/>
          <w:color w:val="000000"/>
        </w:rPr>
        <w:t>9.1. A 2018/958/EU irányelv</w:t>
      </w:r>
    </w:p>
    <w:p>
      <w:pPr>
        <w:spacing w:after="120"/>
        <w:ind w:firstLine="397"/>
      </w:pPr>
      <w:r>
        <w:rPr>
          <w:rFonts w:ascii="Times New Roman" w:hAnsi="Times New Roman" w:eastAsia="Times New Roman"/>
          <w:b w:val="0"/>
          <w:i w:val="0"/>
          <w:color w:val="000000"/>
        </w:rPr>
        <w:t>Az Európai Parlament és a Tanács (EU) 2018/958 irányelve az új szakmai szabályozások elfogadása előtti arányossági vizsgálatról rendelkezik. Az irányelv alapján a tagállam új szabályozott szakmát, védett szakmai címet, kötelező tagságot, tulajdonosi vagy működési követelményt csak előzetes, tárgyilagos és független vizsgálat alapján vezethet be.</w:t>
      </w:r>
    </w:p>
    <w:p>
      <w:pPr>
        <w:spacing w:after="120"/>
        <w:ind w:firstLine="397"/>
      </w:pPr>
      <w:r>
        <w:rPr>
          <w:rFonts w:ascii="Times New Roman" w:hAnsi="Times New Roman" w:eastAsia="Times New Roman"/>
          <w:b w:val="0"/>
          <w:i w:val="0"/>
          <w:color w:val="000000"/>
        </w:rPr>
        <w:t>A vizsgálatnak különösen ki kell térnie a közérdekű célra, a meglévő szabályok elégtelenségére, a tervezett követelmény alkalmasságára, a kevésbé korlátozó megoldásokra, a követelmények együttes hatására, a területi és időbeli szolgáltatásnyújtásra, az Európai Unió más tagállamaiban szerzett képesítések elismerésére, valamint a fogyasztókra és a szolgáltatás árára gyakorolt hatásra.</w:t>
      </w:r>
    </w:p>
    <w:p>
      <w:pPr>
        <w:pStyle w:val="Heading2"/>
      </w:pPr>
      <w:r>
        <w:rPr>
          <w:rFonts w:ascii="Times New Roman" w:hAnsi="Times New Roman" w:eastAsia="Times New Roman"/>
          <w:color w:val="000000"/>
        </w:rPr>
        <w:t>9.2. A magyar javaslat arányossági érvei</w:t>
      </w:r>
    </w:p>
    <w:p>
      <w:pPr>
        <w:pStyle w:val="ListBullet"/>
        <w:spacing w:after="60"/>
      </w:pPr>
      <w:r>
        <w:rPr>
          <w:rFonts w:ascii="Times New Roman" w:hAnsi="Times New Roman" w:eastAsia="Times New Roman"/>
          <w:color w:val="000000"/>
        </w:rPr>
        <w:t>A szolgáltatás közvetlenül befolyásolja a költségvetési bevételeket, a munkavállalói jogokat és a vállalkozások pénzügyi kimutatásait.</w:t>
      </w:r>
    </w:p>
    <w:p>
      <w:pPr>
        <w:pStyle w:val="ListBullet"/>
        <w:spacing w:after="60"/>
      </w:pPr>
      <w:r>
        <w:rPr>
          <w:rFonts w:ascii="Times New Roman" w:hAnsi="Times New Roman" w:eastAsia="Times New Roman"/>
          <w:color w:val="000000"/>
        </w:rPr>
        <w:t>A jelenlegi személyi nyilvántartások nem teszik láthatóvá a szolgáltató szervezeteket és a tényleges felelősségi fedezetet.</w:t>
      </w:r>
    </w:p>
    <w:p>
      <w:pPr>
        <w:pStyle w:val="ListBullet"/>
        <w:spacing w:after="60"/>
      </w:pPr>
      <w:r>
        <w:rPr>
          <w:rFonts w:ascii="Times New Roman" w:hAnsi="Times New Roman" w:eastAsia="Times New Roman"/>
          <w:color w:val="000000"/>
        </w:rPr>
        <w:t>A tagság önmagában nem pénzügyi belépési akadály, mert az egyéni szakmai tag nem fizet tagdíjat.</w:t>
      </w:r>
    </w:p>
    <w:p>
      <w:pPr>
        <w:pStyle w:val="ListBullet"/>
        <w:spacing w:after="60"/>
      </w:pPr>
      <w:r>
        <w:rPr>
          <w:rFonts w:ascii="Times New Roman" w:hAnsi="Times New Roman" w:eastAsia="Times New Roman"/>
          <w:color w:val="000000"/>
        </w:rPr>
        <w:t>A szolgáltatói hozzájárulás sávos, árbevétel- és ügyfélszám-arányos.</w:t>
      </w:r>
    </w:p>
    <w:p>
      <w:pPr>
        <w:pStyle w:val="ListBullet"/>
        <w:spacing w:after="60"/>
      </w:pPr>
      <w:r>
        <w:rPr>
          <w:rFonts w:ascii="Times New Roman" w:hAnsi="Times New Roman" w:eastAsia="Times New Roman"/>
          <w:color w:val="000000"/>
        </w:rPr>
        <w:t>A KFI-követelmény csak a törvényben meghatározott méret vagy kockázat felett kötelező.</w:t>
      </w:r>
    </w:p>
    <w:p>
      <w:pPr>
        <w:pStyle w:val="ListBullet"/>
        <w:spacing w:after="60"/>
      </w:pPr>
      <w:r>
        <w:rPr>
          <w:rFonts w:ascii="Times New Roman" w:hAnsi="Times New Roman" w:eastAsia="Times New Roman"/>
          <w:color w:val="000000"/>
        </w:rPr>
        <w:t>A munkaviszonyban, kizárólag saját munkáltató részére dolgozó személyre nem vonatkozik a szolgáltatói engedély.</w:t>
      </w:r>
    </w:p>
    <w:p>
      <w:pPr>
        <w:pStyle w:val="ListBullet"/>
        <w:spacing w:after="60"/>
      </w:pPr>
      <w:r>
        <w:rPr>
          <w:rFonts w:ascii="Times New Roman" w:hAnsi="Times New Roman" w:eastAsia="Times New Roman"/>
          <w:color w:val="000000"/>
        </w:rPr>
        <w:t>A más tagállamban jogszerűen letelepedett szolgáltató számára egyszerűsített elismerési és ideiglenes szolgáltatási eljárás készül.</w:t>
      </w:r>
    </w:p>
    <w:p>
      <w:pPr>
        <w:pStyle w:val="ListBullet"/>
        <w:spacing w:after="60"/>
      </w:pPr>
      <w:r>
        <w:rPr>
          <w:rFonts w:ascii="Times New Roman" w:hAnsi="Times New Roman" w:eastAsia="Times New Roman"/>
          <w:color w:val="000000"/>
        </w:rPr>
        <w:t>A rendszer többéves átmenettel és díjmentes első nyilvántartásba vétellel indul.</w:t>
      </w:r>
    </w:p>
    <w:p>
      <w:pPr>
        <w:pStyle w:val="ListBullet"/>
        <w:spacing w:after="60"/>
      </w:pPr>
      <w:r>
        <w:rPr>
          <w:rFonts w:ascii="Times New Roman" w:hAnsi="Times New Roman" w:eastAsia="Times New Roman"/>
          <w:color w:val="000000"/>
        </w:rPr>
        <w:t>A cégnévváltoztatási kötelezettség csak a KFI-körre, megfelelő átmenettel terjed ki.</w:t>
      </w:r>
    </w:p>
    <w:p>
      <w:pPr>
        <w:pStyle w:val="ListBullet"/>
        <w:spacing w:after="60"/>
      </w:pPr>
      <w:r>
        <w:rPr>
          <w:rFonts w:ascii="Times New Roman" w:hAnsi="Times New Roman" w:eastAsia="Times New Roman"/>
          <w:color w:val="000000"/>
        </w:rPr>
        <w:t>A díjak rögzítése helyett szolgáltatási tartalmi minimum, nyilvános díjtükör és önköltségi számítási segítség készül.</w:t>
      </w:r>
    </w:p>
    <w:p>
      <w:pPr>
        <w:pStyle w:val="Heading2"/>
      </w:pPr>
      <w:r>
        <w:rPr>
          <w:rFonts w:ascii="Times New Roman" w:hAnsi="Times New Roman" w:eastAsia="Times New Roman"/>
          <w:color w:val="000000"/>
        </w:rPr>
        <w:t>9.3. Uniós eljárási lépések</w:t>
      </w:r>
    </w:p>
    <w:p>
      <w:pPr>
        <w:pStyle w:val="ListNumber"/>
        <w:spacing w:after="60"/>
      </w:pPr>
      <w:r>
        <w:rPr>
          <w:rFonts w:ascii="Times New Roman" w:hAnsi="Times New Roman" w:eastAsia="Times New Roman"/>
          <w:color w:val="000000"/>
        </w:rPr>
        <w:t>Független arányossági hatásvizsgálat elkészítése az (EU) 2018/958 irányelv szerinti kérdésekre.</w:t>
      </w:r>
    </w:p>
    <w:p>
      <w:pPr>
        <w:pStyle w:val="ListNumber"/>
        <w:spacing w:after="60"/>
      </w:pPr>
      <w:r>
        <w:rPr>
          <w:rFonts w:ascii="Times New Roman" w:hAnsi="Times New Roman" w:eastAsia="Times New Roman"/>
          <w:color w:val="000000"/>
        </w:rPr>
        <w:t>A szolgáltatási irányelv és a szakmai képesítések elismerésére vonatkozó uniós szabályok vizsgálata.</w:t>
      </w:r>
    </w:p>
    <w:p>
      <w:pPr>
        <w:pStyle w:val="ListNumber"/>
        <w:spacing w:after="60"/>
      </w:pPr>
      <w:r>
        <w:rPr>
          <w:rFonts w:ascii="Times New Roman" w:hAnsi="Times New Roman" w:eastAsia="Times New Roman"/>
          <w:color w:val="000000"/>
        </w:rPr>
        <w:t>A szabályozott szakmák európai adatbázisában szükséges bejelentések előkészítése.</w:t>
      </w:r>
    </w:p>
    <w:p>
      <w:pPr>
        <w:pStyle w:val="ListNumber"/>
        <w:spacing w:after="60"/>
      </w:pPr>
      <w:r>
        <w:rPr>
          <w:rFonts w:ascii="Times New Roman" w:hAnsi="Times New Roman" w:eastAsia="Times New Roman"/>
          <w:color w:val="000000"/>
        </w:rPr>
        <w:t>Előzetes szakmai egyeztetés az Európai Bizottság belső piaci szolgálataival, különös tekintettel a kötelező tagságra, a KFI-felelősségre és a névhasználatra.</w:t>
      </w:r>
    </w:p>
    <w:p>
      <w:pPr>
        <w:pStyle w:val="ListNumber"/>
        <w:spacing w:after="60"/>
      </w:pPr>
      <w:r>
        <w:rPr>
          <w:rFonts w:ascii="Times New Roman" w:hAnsi="Times New Roman" w:eastAsia="Times New Roman"/>
          <w:color w:val="000000"/>
        </w:rPr>
        <w:t>A törvényjavaslat indokolásához részletes, nyilvános magyar és angol nyelvű hatásvizsgálat csatolása.</w:t>
      </w:r>
    </w:p>
    <w:p>
      <w:pPr>
        <w:pStyle w:val="ListNumber"/>
        <w:spacing w:after="60"/>
      </w:pPr>
      <w:r>
        <w:rPr>
          <w:rFonts w:ascii="Times New Roman" w:hAnsi="Times New Roman" w:eastAsia="Times New Roman"/>
          <w:color w:val="000000"/>
        </w:rPr>
        <w:t>A hatálybalépés után rendszeres felülvizsgálat, panasz- és versenyhatás-mérés.</w:t>
      </w:r>
    </w:p>
    <w:p>
      <w:pPr>
        <w:pStyle w:val="Heading1"/>
      </w:pPr>
      <w:r>
        <w:rPr>
          <w:rFonts w:ascii="Times New Roman" w:hAnsi="Times New Roman" w:eastAsia="Times New Roman"/>
          <w:color w:val="000000"/>
        </w:rPr>
        <w:t>10. Külföldi példák</w:t>
      </w:r>
    </w:p>
    <w:p>
      <w:pPr>
        <w:pStyle w:val="Heading2"/>
      </w:pPr>
      <w:r>
        <w:rPr>
          <w:rFonts w:ascii="Times New Roman" w:hAnsi="Times New Roman" w:eastAsia="Times New Roman"/>
          <w:color w:val="000000"/>
        </w:rPr>
        <w:t>10.1. Belgium – Institute for Tax Advisors and Accountants (ITAA)</w:t>
      </w:r>
    </w:p>
    <w:p>
      <w:pPr>
        <w:spacing w:after="120"/>
        <w:ind w:firstLine="397"/>
      </w:pPr>
      <w:r>
        <w:rPr>
          <w:rFonts w:ascii="Times New Roman" w:hAnsi="Times New Roman" w:eastAsia="Times New Roman"/>
          <w:b w:val="0"/>
          <w:i w:val="0"/>
          <w:color w:val="000000"/>
        </w:rPr>
        <w:t>A belga ITAA a könyvelői és adótanácsadói szakma törvényben meghatározott intézménye. Nyilvántartást vezet a jogosult személyekről és társaságokról, szabályozza a szakmai címek használatát, részt vesz a szakmába belépés, a gyakorlati idő, a vizsga, a továbbképzés és a fegyelmi felügyelet rendszerében. A belga példa azt támasztja alá, hogy a könyvelői és adótanácsadói tevékenység közös szakmai intézménybe rendezhető.</w:t>
      </w:r>
    </w:p>
    <w:p>
      <w:pPr>
        <w:pStyle w:val="Heading2"/>
      </w:pPr>
      <w:r>
        <w:rPr>
          <w:rFonts w:ascii="Times New Roman" w:hAnsi="Times New Roman" w:eastAsia="Times New Roman"/>
          <w:color w:val="000000"/>
        </w:rPr>
        <w:t>10.2. Ausztria – Kammer der Steuerberater:innen und Wirtschaftsprüfer:innen (KSW)</w:t>
      </w:r>
    </w:p>
    <w:p>
      <w:pPr>
        <w:spacing w:after="120"/>
        <w:ind w:firstLine="397"/>
      </w:pPr>
      <w:r>
        <w:rPr>
          <w:rFonts w:ascii="Times New Roman" w:hAnsi="Times New Roman" w:eastAsia="Times New Roman"/>
          <w:b w:val="0"/>
          <w:i w:val="0"/>
          <w:color w:val="000000"/>
        </w:rPr>
        <w:t>Az osztrák KSW törvényben meghatározott szakmai kamara. Szakmai vizsgákat tart, közjogi jogosultságot ad, elismeri a szakmai társaságokat, vezeti a szakemberek jegyzékét, továbbképzési és szakmai segítséget nyújt. Az osztrák modell különösen fontos a vizsgáztatási jog kamarai elhelyezése és a társaságok szakmai elismerése szempontjából.</w:t>
      </w:r>
    </w:p>
    <w:p>
      <w:pPr>
        <w:pStyle w:val="Heading2"/>
      </w:pPr>
      <w:r>
        <w:rPr>
          <w:rFonts w:ascii="Times New Roman" w:hAnsi="Times New Roman" w:eastAsia="Times New Roman"/>
          <w:color w:val="000000"/>
        </w:rPr>
        <w:t>10.3. Franciaország – Ordre des Experts-Comptables</w:t>
      </w:r>
    </w:p>
    <w:p>
      <w:pPr>
        <w:spacing w:after="120"/>
        <w:ind w:firstLine="397"/>
      </w:pPr>
      <w:r>
        <w:rPr>
          <w:rFonts w:ascii="Times New Roman" w:hAnsi="Times New Roman" w:eastAsia="Times New Roman"/>
          <w:b w:val="0"/>
          <w:i w:val="0"/>
          <w:color w:val="000000"/>
        </w:rPr>
        <w:t>Franciaországban az expert-comptable szakmai címhez és a fenntartott könyvviteli tevékenységhez kamarai jegyzékbe vétel szükséges. A területi tanácsok elbírálják a felvételi kérelmeket, felügyelik a szakmai gyakorlatot, rendezik a szakmai vitákat és fellépnek a jogosulatlan szolgáltatás ellen. Nyilvános névjegyzék segíti az ügyfeleket annak ellenőrzésében, hogy a szolgáltató jogosult-e.</w:t>
      </w:r>
    </w:p>
    <w:p>
      <w:pPr>
        <w:pStyle w:val="Heading2"/>
      </w:pPr>
      <w:r>
        <w:rPr>
          <w:rFonts w:ascii="Times New Roman" w:hAnsi="Times New Roman" w:eastAsia="Times New Roman"/>
          <w:color w:val="000000"/>
        </w:rPr>
        <w:t>10.4. Olaszország – Consiglio Nazionale dei Dottori Commercialisti e degli Esperti Contabili (CNDCEC)</w:t>
      </w:r>
    </w:p>
    <w:p>
      <w:pPr>
        <w:spacing w:after="120"/>
        <w:ind w:firstLine="397"/>
      </w:pPr>
      <w:r>
        <w:rPr>
          <w:rFonts w:ascii="Times New Roman" w:hAnsi="Times New Roman" w:eastAsia="Times New Roman"/>
          <w:b w:val="0"/>
          <w:i w:val="0"/>
          <w:color w:val="000000"/>
        </w:rPr>
        <w:t>Az olasz országos tanács és a területi szakmai rendek nyilvántartást vezetnek, szakmai szabályokat és etikai követelményeket alkotnak, felügyelik a gyakorlati időt és a folyamatos képzést, továbbá szakmai fegyelmi szerveket működtetnek. Az olasz rendszerből a területi szervezet, az egységes országos névjegyzék és a gyakorlati képzés kapcsolata emelhető át.</w:t>
      </w:r>
    </w:p>
    <w:p>
      <w:pPr>
        <w:pStyle w:val="Heading2"/>
      </w:pPr>
      <w:r>
        <w:rPr>
          <w:rFonts w:ascii="Times New Roman" w:hAnsi="Times New Roman" w:eastAsia="Times New Roman"/>
          <w:color w:val="000000"/>
        </w:rPr>
        <w:t>10.5. A külföldi példákból levonható következtetések</w:t>
      </w:r>
    </w:p>
    <w:p>
      <w:pPr>
        <w:pStyle w:val="ListBullet"/>
        <w:spacing w:after="60"/>
      </w:pPr>
      <w:r>
        <w:rPr>
          <w:rFonts w:ascii="Times New Roman" w:hAnsi="Times New Roman" w:eastAsia="Times New Roman"/>
          <w:color w:val="000000"/>
        </w:rPr>
        <w:t>A kötelező szakmai nyilvántartás és a fenntartott cím európai gyakorlatban ismert megoldás.</w:t>
      </w:r>
    </w:p>
    <w:p>
      <w:pPr>
        <w:pStyle w:val="ListBullet"/>
        <w:spacing w:after="60"/>
      </w:pPr>
      <w:r>
        <w:rPr>
          <w:rFonts w:ascii="Times New Roman" w:hAnsi="Times New Roman" w:eastAsia="Times New Roman"/>
          <w:color w:val="000000"/>
        </w:rPr>
        <w:t>A személyek mellett a szakmai társaságokat is nyilván kell tartani.</w:t>
      </w:r>
    </w:p>
    <w:p>
      <w:pPr>
        <w:pStyle w:val="ListBullet"/>
        <w:spacing w:after="60"/>
      </w:pPr>
      <w:r>
        <w:rPr>
          <w:rFonts w:ascii="Times New Roman" w:hAnsi="Times New Roman" w:eastAsia="Times New Roman"/>
          <w:color w:val="000000"/>
        </w:rPr>
        <w:t>A vizsgáztatás és a gyakorlati képzés kamarai szervezése működőképes.</w:t>
      </w:r>
    </w:p>
    <w:p>
      <w:pPr>
        <w:pStyle w:val="ListBullet"/>
        <w:spacing w:after="60"/>
      </w:pPr>
      <w:r>
        <w:rPr>
          <w:rFonts w:ascii="Times New Roman" w:hAnsi="Times New Roman" w:eastAsia="Times New Roman"/>
          <w:color w:val="000000"/>
        </w:rPr>
        <w:t>A jogosulatlan szolgáltatás elleni fellépés ügyfélvédelmi feladat.</w:t>
      </w:r>
    </w:p>
    <w:p>
      <w:pPr>
        <w:pStyle w:val="ListBullet"/>
        <w:spacing w:after="60"/>
      </w:pPr>
      <w:r>
        <w:rPr>
          <w:rFonts w:ascii="Times New Roman" w:hAnsi="Times New Roman" w:eastAsia="Times New Roman"/>
          <w:color w:val="000000"/>
        </w:rPr>
        <w:t>A nyilvános kereső, a fegyelmi rendszer és a továbbképzés egymást erősítő elemek.</w:t>
      </w:r>
    </w:p>
    <w:p>
      <w:pPr>
        <w:pStyle w:val="ListBullet"/>
        <w:spacing w:after="60"/>
      </w:pPr>
      <w:r>
        <w:rPr>
          <w:rFonts w:ascii="Times New Roman" w:hAnsi="Times New Roman" w:eastAsia="Times New Roman"/>
          <w:color w:val="000000"/>
        </w:rPr>
        <w:t>A magyar modellben külön figyelmet kell fordítani a piac széttagoltságára és az egyéni tagdíj elkerülésére.</w:t>
      </w:r>
    </w:p>
    <w:p>
      <w:pPr>
        <w:pStyle w:val="Heading1"/>
      </w:pPr>
      <w:r>
        <w:rPr>
          <w:rFonts w:ascii="Times New Roman" w:hAnsi="Times New Roman" w:eastAsia="Times New Roman"/>
          <w:color w:val="000000"/>
        </w:rPr>
        <w:t>11. Finanszírozási modell</w:t>
      </w:r>
    </w:p>
    <w:p>
      <w:pPr>
        <w:spacing w:after="120"/>
        <w:ind w:firstLine="397"/>
      </w:pPr>
      <w:r>
        <w:rPr>
          <w:rFonts w:ascii="Times New Roman" w:hAnsi="Times New Roman" w:eastAsia="Times New Roman"/>
          <w:b w:val="0"/>
          <w:i w:val="0"/>
          <w:color w:val="000000"/>
        </w:rPr>
        <w:t>Az egyéni tagdíj tilalmát a törvényben kell rögzíteni. A Kamara bevételei a következők lehetnek:</w:t>
      </w:r>
    </w:p>
    <w:p>
      <w:pPr>
        <w:pStyle w:val="ListBullet"/>
        <w:spacing w:after="60"/>
      </w:pPr>
      <w:r>
        <w:rPr>
          <w:rFonts w:ascii="Times New Roman" w:hAnsi="Times New Roman" w:eastAsia="Times New Roman"/>
          <w:color w:val="000000"/>
        </w:rPr>
        <w:t>szolgáltatói kamarai működési hozzájárulás, sávosan;</w:t>
      </w:r>
    </w:p>
    <w:p>
      <w:pPr>
        <w:pStyle w:val="ListBullet"/>
        <w:spacing w:after="60"/>
      </w:pPr>
      <w:r>
        <w:rPr>
          <w:rFonts w:ascii="Times New Roman" w:hAnsi="Times New Roman" w:eastAsia="Times New Roman"/>
          <w:color w:val="000000"/>
        </w:rPr>
        <w:t>vizsgadíj és vizsgaszervezési díj;</w:t>
      </w:r>
    </w:p>
    <w:p>
      <w:pPr>
        <w:pStyle w:val="ListBullet"/>
        <w:spacing w:after="60"/>
      </w:pPr>
      <w:r>
        <w:rPr>
          <w:rFonts w:ascii="Times New Roman" w:hAnsi="Times New Roman" w:eastAsia="Times New Roman"/>
          <w:color w:val="000000"/>
        </w:rPr>
        <w:t>továbbképzési programok minősítési díja;</w:t>
      </w:r>
    </w:p>
    <w:p>
      <w:pPr>
        <w:pStyle w:val="ListBullet"/>
        <w:spacing w:after="60"/>
      </w:pPr>
      <w:r>
        <w:rPr>
          <w:rFonts w:ascii="Times New Roman" w:hAnsi="Times New Roman" w:eastAsia="Times New Roman"/>
          <w:color w:val="000000"/>
        </w:rPr>
        <w:t>szolgáltatói minőségellenőrzési díj, kockázati és méretarányos rendszerben;</w:t>
      </w:r>
    </w:p>
    <w:p>
      <w:pPr>
        <w:pStyle w:val="ListBullet"/>
        <w:spacing w:after="60"/>
      </w:pPr>
      <w:r>
        <w:rPr>
          <w:rFonts w:ascii="Times New Roman" w:hAnsi="Times New Roman" w:eastAsia="Times New Roman"/>
          <w:color w:val="000000"/>
        </w:rPr>
        <w:t>állami hozzájárulás az átvett közfeladatokhoz;</w:t>
      </w:r>
    </w:p>
    <w:p>
      <w:pPr>
        <w:pStyle w:val="ListBullet"/>
        <w:spacing w:after="60"/>
      </w:pPr>
      <w:r>
        <w:rPr>
          <w:rFonts w:ascii="Times New Roman" w:hAnsi="Times New Roman" w:eastAsia="Times New Roman"/>
          <w:color w:val="000000"/>
        </w:rPr>
        <w:t>európai uniós és hazai fejlesztési források;</w:t>
      </w:r>
    </w:p>
    <w:p>
      <w:pPr>
        <w:pStyle w:val="ListBullet"/>
        <w:spacing w:after="60"/>
      </w:pPr>
      <w:r>
        <w:rPr>
          <w:rFonts w:ascii="Times New Roman" w:hAnsi="Times New Roman" w:eastAsia="Times New Roman"/>
          <w:color w:val="000000"/>
        </w:rPr>
        <w:t>nyilvántartási kivonatok és külön, nem kötelező kamarai szolgáltatások díja;</w:t>
      </w:r>
    </w:p>
    <w:p>
      <w:pPr>
        <w:pStyle w:val="ListBullet"/>
        <w:spacing w:after="60"/>
      </w:pPr>
      <w:r>
        <w:rPr>
          <w:rFonts w:ascii="Times New Roman" w:hAnsi="Times New Roman" w:eastAsia="Times New Roman"/>
          <w:color w:val="000000"/>
        </w:rPr>
        <w:t>a kártalanítási alap elkülönített szolgáltatói befizetése.</w:t>
      </w:r>
    </w:p>
    <w:p>
      <w:pPr>
        <w:spacing w:after="120"/>
        <w:ind w:firstLine="397"/>
      </w:pPr>
      <w:r>
        <w:rPr>
          <w:rFonts w:ascii="Times New Roman" w:hAnsi="Times New Roman" w:eastAsia="Times New Roman"/>
          <w:b w:val="0"/>
          <w:i w:val="0"/>
          <w:color w:val="000000"/>
        </w:rPr>
        <w:t>A Kamara nem részesedhet biztosításközvetítői jutalékból, nem kényszerítheti a tagokat meghatározott biztosítóhoz, és nem hozhat létre rejtett egyéni tagdíjat. A költségvetést, a vezetői juttatásokat, a beszerzéseket és az alapok felhasználását teljes körűen nyilvánosságra kell hozni.</w:t>
      </w:r>
    </w:p>
    <w:p>
      <w:pPr>
        <w:pStyle w:val="Heading1"/>
      </w:pPr>
      <w:r>
        <w:rPr>
          <w:rFonts w:ascii="Times New Roman" w:hAnsi="Times New Roman" w:eastAsia="Times New Roman"/>
          <w:color w:val="000000"/>
        </w:rPr>
        <w:t>12. Kommunikációs és társadalmi elfogadottsági program</w:t>
      </w:r>
    </w:p>
    <w:p>
      <w:pPr>
        <w:pStyle w:val="Heading2"/>
      </w:pPr>
      <w:r>
        <w:rPr>
          <w:rFonts w:ascii="Times New Roman" w:hAnsi="Times New Roman" w:eastAsia="Times New Roman"/>
          <w:color w:val="000000"/>
        </w:rPr>
        <w:t>12.1. Alapüzenet</w:t>
      </w:r>
    </w:p>
    <w:p>
      <w:pPr>
        <w:spacing w:after="120"/>
        <w:ind w:firstLine="397"/>
      </w:pPr>
      <w:r>
        <w:rPr>
          <w:rFonts w:ascii="Times New Roman" w:hAnsi="Times New Roman" w:eastAsia="Times New Roman"/>
          <w:b w:val="0"/>
          <w:i w:val="0"/>
          <w:color w:val="000000"/>
        </w:rPr>
        <w:t>A MAX Kamara nem újabb teher, hanem a szakma láthatóvá tétele és az ügyfélbiztonság megteremtése. A kommunikáció fő mondata: „Látható szakma, védett ügyfél, tisztább gazdaság.” További üzenetek: „A jó könyvelőt védi, a zugkönyvelőt kiszorítja.” „A könyvelő nem adatbevivő, hanem felelős bizalmi szakember.”</w:t>
      </w:r>
    </w:p>
    <w:p>
      <w:pPr>
        <w:pStyle w:val="Heading2"/>
      </w:pPr>
      <w:r>
        <w:rPr>
          <w:rFonts w:ascii="Times New Roman" w:hAnsi="Times New Roman" w:eastAsia="Times New Roman"/>
          <w:color w:val="000000"/>
        </w:rPr>
        <w:t>12.2. A könyvelők felé tett vállalások</w:t>
      </w:r>
    </w:p>
    <w:p>
      <w:pPr>
        <w:pStyle w:val="ListBullet"/>
        <w:spacing w:after="60"/>
      </w:pPr>
      <w:r>
        <w:rPr>
          <w:rFonts w:ascii="Times New Roman" w:hAnsi="Times New Roman" w:eastAsia="Times New Roman"/>
          <w:color w:val="000000"/>
        </w:rPr>
        <w:t>nincs egyéni tagdíj;</w:t>
      </w:r>
    </w:p>
    <w:p>
      <w:pPr>
        <w:pStyle w:val="ListBullet"/>
        <w:spacing w:after="60"/>
      </w:pPr>
      <w:r>
        <w:rPr>
          <w:rFonts w:ascii="Times New Roman" w:hAnsi="Times New Roman" w:eastAsia="Times New Roman"/>
          <w:color w:val="000000"/>
        </w:rPr>
        <w:t>a meglévő képesítések és szerzett jogok átmeneti védelemben részesülnek;</w:t>
      </w:r>
    </w:p>
    <w:p>
      <w:pPr>
        <w:pStyle w:val="ListBullet"/>
        <w:spacing w:after="60"/>
      </w:pPr>
      <w:r>
        <w:rPr>
          <w:rFonts w:ascii="Times New Roman" w:hAnsi="Times New Roman" w:eastAsia="Times New Roman"/>
          <w:color w:val="000000"/>
        </w:rPr>
        <w:t>egyszerű, egyszeri elektronikus belépés;</w:t>
      </w:r>
    </w:p>
    <w:p>
      <w:pPr>
        <w:pStyle w:val="ListBullet"/>
        <w:spacing w:after="60"/>
      </w:pPr>
      <w:r>
        <w:rPr>
          <w:rFonts w:ascii="Times New Roman" w:hAnsi="Times New Roman" w:eastAsia="Times New Roman"/>
          <w:color w:val="000000"/>
        </w:rPr>
        <w:t>ingyenes alapminták, szerződések, iratátadási jegyzékek és pénzmosás-megelőzési segítség;</w:t>
      </w:r>
    </w:p>
    <w:p>
      <w:pPr>
        <w:pStyle w:val="ListBullet"/>
        <w:spacing w:after="60"/>
      </w:pPr>
      <w:r>
        <w:rPr>
          <w:rFonts w:ascii="Times New Roman" w:hAnsi="Times New Roman" w:eastAsia="Times New Roman"/>
          <w:color w:val="000000"/>
        </w:rPr>
        <w:t>kamarai jogsegély és hatósági egyeztetési támogatás;</w:t>
      </w:r>
    </w:p>
    <w:p>
      <w:pPr>
        <w:pStyle w:val="ListBullet"/>
        <w:spacing w:after="60"/>
      </w:pPr>
      <w:r>
        <w:rPr>
          <w:rFonts w:ascii="Times New Roman" w:hAnsi="Times New Roman" w:eastAsia="Times New Roman"/>
          <w:color w:val="000000"/>
        </w:rPr>
        <w:t>a képzés valós munkához igazodik;</w:t>
      </w:r>
    </w:p>
    <w:p>
      <w:pPr>
        <w:pStyle w:val="ListBullet"/>
        <w:spacing w:after="60"/>
      </w:pPr>
      <w:r>
        <w:rPr>
          <w:rFonts w:ascii="Times New Roman" w:hAnsi="Times New Roman" w:eastAsia="Times New Roman"/>
          <w:color w:val="000000"/>
        </w:rPr>
        <w:t>a Kamara fellép a jogosulatlan és számla nélkül működő versenytársak ellen.</w:t>
      </w:r>
    </w:p>
    <w:p>
      <w:pPr>
        <w:pStyle w:val="Heading2"/>
      </w:pPr>
      <w:r>
        <w:rPr>
          <w:rFonts w:ascii="Times New Roman" w:hAnsi="Times New Roman" w:eastAsia="Times New Roman"/>
          <w:color w:val="000000"/>
        </w:rPr>
        <w:t>12.3. Az ügyfelek felé tett vállalások</w:t>
      </w:r>
    </w:p>
    <w:p>
      <w:pPr>
        <w:pStyle w:val="ListBullet"/>
        <w:spacing w:after="60"/>
      </w:pPr>
      <w:r>
        <w:rPr>
          <w:rFonts w:ascii="Times New Roman" w:hAnsi="Times New Roman" w:eastAsia="Times New Roman"/>
          <w:color w:val="000000"/>
        </w:rPr>
        <w:t>nyilvános, ingyenes szolgáltatókereső;</w:t>
      </w:r>
    </w:p>
    <w:p>
      <w:pPr>
        <w:pStyle w:val="ListBullet"/>
        <w:spacing w:after="60"/>
      </w:pPr>
      <w:r>
        <w:rPr>
          <w:rFonts w:ascii="Times New Roman" w:hAnsi="Times New Roman" w:eastAsia="Times New Roman"/>
          <w:color w:val="000000"/>
        </w:rPr>
        <w:t>a jogosultság, a szakmai vezető és a biztosítás ellenőrizhetősége;</w:t>
      </w:r>
    </w:p>
    <w:p>
      <w:pPr>
        <w:pStyle w:val="ListBullet"/>
        <w:spacing w:after="60"/>
      </w:pPr>
      <w:r>
        <w:rPr>
          <w:rFonts w:ascii="Times New Roman" w:hAnsi="Times New Roman" w:eastAsia="Times New Roman"/>
          <w:color w:val="000000"/>
        </w:rPr>
        <w:t>kötelező írásbeli szerződés és feladatmegosztás;</w:t>
      </w:r>
    </w:p>
    <w:p>
      <w:pPr>
        <w:pStyle w:val="ListBullet"/>
        <w:spacing w:after="60"/>
      </w:pPr>
      <w:r>
        <w:rPr>
          <w:rFonts w:ascii="Times New Roman" w:hAnsi="Times New Roman" w:eastAsia="Times New Roman"/>
          <w:color w:val="000000"/>
        </w:rPr>
        <w:t>határidős irat- és adatátadási kötelezettség;</w:t>
      </w:r>
    </w:p>
    <w:p>
      <w:pPr>
        <w:pStyle w:val="ListBullet"/>
        <w:spacing w:after="60"/>
      </w:pPr>
      <w:r>
        <w:rPr>
          <w:rFonts w:ascii="Times New Roman" w:hAnsi="Times New Roman" w:eastAsia="Times New Roman"/>
          <w:color w:val="000000"/>
        </w:rPr>
        <w:t>panaszkezelés és kamarai közvetítés;</w:t>
      </w:r>
    </w:p>
    <w:p>
      <w:pPr>
        <w:pStyle w:val="ListBullet"/>
        <w:spacing w:after="60"/>
      </w:pPr>
      <w:r>
        <w:rPr>
          <w:rFonts w:ascii="Times New Roman" w:hAnsi="Times New Roman" w:eastAsia="Times New Roman"/>
          <w:color w:val="000000"/>
        </w:rPr>
        <w:t>KFI esetén többszintű kártérítési fedezet;</w:t>
      </w:r>
    </w:p>
    <w:p>
      <w:pPr>
        <w:pStyle w:val="ListBullet"/>
        <w:spacing w:after="60"/>
      </w:pPr>
      <w:r>
        <w:rPr>
          <w:rFonts w:ascii="Times New Roman" w:hAnsi="Times New Roman" w:eastAsia="Times New Roman"/>
          <w:color w:val="000000"/>
        </w:rPr>
        <w:t>a szolgáltatások tartalmának összehasonlíthatósága.</w:t>
      </w:r>
    </w:p>
    <w:p>
      <w:pPr>
        <w:pStyle w:val="Heading2"/>
      </w:pPr>
      <w:r>
        <w:rPr>
          <w:rFonts w:ascii="Times New Roman" w:hAnsi="Times New Roman" w:eastAsia="Times New Roman"/>
          <w:color w:val="000000"/>
        </w:rPr>
        <w:t>12.4. Díjazási átláthatóság versenyjogi kockázat nélkül</w:t>
      </w:r>
    </w:p>
    <w:p>
      <w:pPr>
        <w:spacing w:after="120"/>
        <w:ind w:firstLine="397"/>
      </w:pPr>
      <w:r>
        <w:rPr>
          <w:rFonts w:ascii="Times New Roman" w:hAnsi="Times New Roman" w:eastAsia="Times New Roman"/>
          <w:b w:val="0"/>
          <w:i w:val="0"/>
          <w:color w:val="000000"/>
        </w:rPr>
        <w:t>Kötelező vagy ajánlott minimumdíj nem vezethető be. A Kamara azonban évente névtelen adatokból díjtükröt, munkaidő- és költségmutatókat, szolgáltatási csomagmintákat és önköltségszámító eszközt tehet közzé. A cél nem az árak összehangolása, hanem annak bemutatása, hogy egy adott szolgáltatási tartalom milyen munkafolyamatokat és felelősséget foglal magában.</w:t>
      </w:r>
    </w:p>
    <w:p>
      <w:pPr>
        <w:pStyle w:val="Heading1"/>
      </w:pPr>
      <w:r>
        <w:rPr>
          <w:rFonts w:ascii="Times New Roman" w:hAnsi="Times New Roman" w:eastAsia="Times New Roman"/>
          <w:color w:val="000000"/>
        </w:rPr>
        <w:t>13. Jogalkotási és végrehajtási akcióterv</w:t>
      </w:r>
    </w:p>
    <w:tbl>
      <w:tblPr>
        <w:tblStyle w:val="TableGrid"/>
        <w:tblW w:type="auto" w:w="0"/>
        <w:jc w:val="center"/>
        <w:tblLook w:firstColumn="1" w:firstRow="1" w:lastColumn="0" w:lastRow="0" w:noHBand="0" w:noVBand="1" w:val="04A0"/>
      </w:tblPr>
      <w:tblGrid>
        <w:gridCol w:w="4646"/>
        <w:gridCol w:w="4646"/>
      </w:tblGrid>
      <w:tr>
        <w:tc>
          <w:tcPr>
            <w:tcW w:type="dxa" w:w="4646"/>
            <w:vAlign w:val="center"/>
          </w:tcPr>
          <w:p>
            <w:r>
              <w:rPr>
                <w:rFonts w:ascii="Times New Roman" w:hAnsi="Times New Roman" w:eastAsia="Times New Roman"/>
                <w:b/>
                <w:color w:val="000000"/>
              </w:rPr>
              <w:t>Időszak</w:t>
            </w:r>
          </w:p>
        </w:tc>
        <w:tc>
          <w:tcPr>
            <w:tcW w:type="dxa" w:w="4646"/>
            <w:vAlign w:val="center"/>
          </w:tcPr>
          <w:p>
            <w:r>
              <w:rPr>
                <w:rFonts w:ascii="Times New Roman" w:hAnsi="Times New Roman" w:eastAsia="Times New Roman"/>
                <w:b/>
                <w:color w:val="000000"/>
              </w:rPr>
              <w:t>Fő feladat</w:t>
            </w:r>
          </w:p>
        </w:tc>
      </w:tr>
      <w:tr>
        <w:tc>
          <w:tcPr>
            <w:tcW w:type="dxa" w:w="4646"/>
          </w:tcPr>
          <w:p>
            <w:pPr>
              <w:spacing w:after="0" w:line="240" w:lineRule="auto"/>
            </w:pPr>
            <w:r>
              <w:rPr>
                <w:rFonts w:ascii="Times New Roman" w:hAnsi="Times New Roman" w:eastAsia="Times New Roman"/>
                <w:color w:val="000000"/>
                <w:sz w:val="18"/>
              </w:rPr>
              <w:t>2026. III–IV. negyedév</w:t>
            </w:r>
          </w:p>
        </w:tc>
        <w:tc>
          <w:tcPr>
            <w:tcW w:type="dxa" w:w="4646"/>
          </w:tcPr>
          <w:p>
            <w:pPr>
              <w:spacing w:after="0" w:line="240" w:lineRule="auto"/>
            </w:pPr>
            <w:r>
              <w:rPr>
                <w:rFonts w:ascii="Times New Roman" w:hAnsi="Times New Roman" w:eastAsia="Times New Roman"/>
                <w:color w:val="000000"/>
                <w:sz w:val="18"/>
              </w:rPr>
              <w:t>Fehér könyv, adatfelmérés, független arányossági vizsgálat, szervezeti és pénzügyi számítások.</w:t>
            </w:r>
          </w:p>
        </w:tc>
      </w:tr>
      <w:tr>
        <w:tc>
          <w:tcPr>
            <w:tcW w:type="dxa" w:w="4646"/>
          </w:tcPr>
          <w:p>
            <w:pPr>
              <w:spacing w:after="0" w:line="240" w:lineRule="auto"/>
            </w:pPr>
            <w:r>
              <w:rPr>
                <w:rFonts w:ascii="Times New Roman" w:hAnsi="Times New Roman" w:eastAsia="Times New Roman"/>
                <w:color w:val="000000"/>
                <w:sz w:val="18"/>
              </w:rPr>
              <w:t>2027. I. negyedév</w:t>
            </w:r>
          </w:p>
        </w:tc>
        <w:tc>
          <w:tcPr>
            <w:tcW w:type="dxa" w:w="4646"/>
          </w:tcPr>
          <w:p>
            <w:pPr>
              <w:spacing w:after="0" w:line="240" w:lineRule="auto"/>
            </w:pPr>
            <w:r>
              <w:rPr>
                <w:rFonts w:ascii="Times New Roman" w:hAnsi="Times New Roman" w:eastAsia="Times New Roman"/>
                <w:color w:val="000000"/>
                <w:sz w:val="18"/>
              </w:rPr>
              <w:t>Egyeztetés a NAV-val, Magyar Államkincstárral, minisztériumokkal, könyvvizsgálói kamarával, szakmai szervezetekkel, vállalkozói érdekképviseletekkel és adatvédelmi hatósággal.</w:t>
            </w:r>
          </w:p>
        </w:tc>
      </w:tr>
      <w:tr>
        <w:tc>
          <w:tcPr>
            <w:tcW w:type="dxa" w:w="4646"/>
          </w:tcPr>
          <w:p>
            <w:pPr>
              <w:spacing w:after="0" w:line="240" w:lineRule="auto"/>
            </w:pPr>
            <w:r>
              <w:rPr>
                <w:rFonts w:ascii="Times New Roman" w:hAnsi="Times New Roman" w:eastAsia="Times New Roman"/>
                <w:color w:val="000000"/>
                <w:sz w:val="18"/>
              </w:rPr>
              <w:t>2027. II. negyedév</w:t>
            </w:r>
          </w:p>
        </w:tc>
        <w:tc>
          <w:tcPr>
            <w:tcW w:type="dxa" w:w="4646"/>
          </w:tcPr>
          <w:p>
            <w:pPr>
              <w:spacing w:after="0" w:line="240" w:lineRule="auto"/>
            </w:pPr>
            <w:r>
              <w:rPr>
                <w:rFonts w:ascii="Times New Roman" w:hAnsi="Times New Roman" w:eastAsia="Times New Roman"/>
                <w:color w:val="000000"/>
                <w:sz w:val="18"/>
              </w:rPr>
              <w:t>A kamarai törvény és kapcsolódó törvénymódosítások benyújtása; uniós bejelentések és előzetes egyeztetések.</w:t>
            </w:r>
          </w:p>
        </w:tc>
      </w:tr>
      <w:tr>
        <w:tc>
          <w:tcPr>
            <w:tcW w:type="dxa" w:w="4646"/>
          </w:tcPr>
          <w:p>
            <w:pPr>
              <w:spacing w:after="0" w:line="240" w:lineRule="auto"/>
            </w:pPr>
            <w:r>
              <w:rPr>
                <w:rFonts w:ascii="Times New Roman" w:hAnsi="Times New Roman" w:eastAsia="Times New Roman"/>
                <w:color w:val="000000"/>
                <w:sz w:val="18"/>
              </w:rPr>
              <w:t>2027. III–IV. negyedév</w:t>
            </w:r>
          </w:p>
        </w:tc>
        <w:tc>
          <w:tcPr>
            <w:tcW w:type="dxa" w:w="4646"/>
          </w:tcPr>
          <w:p>
            <w:pPr>
              <w:spacing w:after="0" w:line="240" w:lineRule="auto"/>
            </w:pPr>
            <w:r>
              <w:rPr>
                <w:rFonts w:ascii="Times New Roman" w:hAnsi="Times New Roman" w:eastAsia="Times New Roman"/>
                <w:color w:val="000000"/>
                <w:sz w:val="18"/>
              </w:rPr>
              <w:t>A Kamara átmeneti szerveinek felállítása, informatikai nyilvántartás, választási szabályok és szolgáltatói önbevallás előkészítése.</w:t>
            </w:r>
          </w:p>
        </w:tc>
      </w:tr>
      <w:tr>
        <w:tc>
          <w:tcPr>
            <w:tcW w:type="dxa" w:w="4646"/>
          </w:tcPr>
          <w:p>
            <w:pPr>
              <w:spacing w:after="0" w:line="240" w:lineRule="auto"/>
            </w:pPr>
            <w:r>
              <w:rPr>
                <w:rFonts w:ascii="Times New Roman" w:hAnsi="Times New Roman" w:eastAsia="Times New Roman"/>
                <w:color w:val="000000"/>
                <w:sz w:val="18"/>
              </w:rPr>
              <w:t>2028. január 1.</w:t>
            </w:r>
          </w:p>
        </w:tc>
        <w:tc>
          <w:tcPr>
            <w:tcW w:type="dxa" w:w="4646"/>
          </w:tcPr>
          <w:p>
            <w:pPr>
              <w:spacing w:after="0" w:line="240" w:lineRule="auto"/>
            </w:pPr>
            <w:r>
              <w:rPr>
                <w:rFonts w:ascii="Times New Roman" w:hAnsi="Times New Roman" w:eastAsia="Times New Roman"/>
                <w:color w:val="000000"/>
                <w:sz w:val="18"/>
              </w:rPr>
              <w:t>A Kamara létrejötte; tagdíjmentes egyéni tagság és szolgáltatói bejelentkezés megnyitása.</w:t>
            </w:r>
          </w:p>
        </w:tc>
      </w:tr>
      <w:tr>
        <w:tc>
          <w:tcPr>
            <w:tcW w:type="dxa" w:w="4646"/>
          </w:tcPr>
          <w:p>
            <w:pPr>
              <w:spacing w:after="0" w:line="240" w:lineRule="auto"/>
            </w:pPr>
            <w:r>
              <w:rPr>
                <w:rFonts w:ascii="Times New Roman" w:hAnsi="Times New Roman" w:eastAsia="Times New Roman"/>
                <w:color w:val="000000"/>
                <w:sz w:val="18"/>
              </w:rPr>
              <w:t>2028. év</w:t>
            </w:r>
          </w:p>
        </w:tc>
        <w:tc>
          <w:tcPr>
            <w:tcW w:type="dxa" w:w="4646"/>
          </w:tcPr>
          <w:p>
            <w:pPr>
              <w:spacing w:after="0" w:line="240" w:lineRule="auto"/>
            </w:pPr>
            <w:r>
              <w:rPr>
                <w:rFonts w:ascii="Times New Roman" w:hAnsi="Times New Roman" w:eastAsia="Times New Roman"/>
                <w:color w:val="000000"/>
                <w:sz w:val="18"/>
              </w:rPr>
              <w:t>NAV-alapú előzetes szolgáltatói jegyzék, nyilatkozati és tisztázási eljárások; díjmentes első nyilvántartásba vétel.</w:t>
            </w:r>
          </w:p>
        </w:tc>
      </w:tr>
      <w:tr>
        <w:tc>
          <w:tcPr>
            <w:tcW w:type="dxa" w:w="4646"/>
          </w:tcPr>
          <w:p>
            <w:pPr>
              <w:spacing w:after="0" w:line="240" w:lineRule="auto"/>
            </w:pPr>
            <w:r>
              <w:rPr>
                <w:rFonts w:ascii="Times New Roman" w:hAnsi="Times New Roman" w:eastAsia="Times New Roman"/>
                <w:color w:val="000000"/>
                <w:sz w:val="18"/>
              </w:rPr>
              <w:t>2029. január 1.</w:t>
            </w:r>
          </w:p>
        </w:tc>
        <w:tc>
          <w:tcPr>
            <w:tcW w:type="dxa" w:w="4646"/>
          </w:tcPr>
          <w:p>
            <w:pPr>
              <w:spacing w:after="0" w:line="240" w:lineRule="auto"/>
            </w:pPr>
            <w:r>
              <w:rPr>
                <w:rFonts w:ascii="Times New Roman" w:hAnsi="Times New Roman" w:eastAsia="Times New Roman"/>
                <w:color w:val="000000"/>
                <w:sz w:val="18"/>
              </w:rPr>
              <w:t>Kamarai szolgáltatói nyilvántartás nélkül új megbízás nem vállalható; kötelező biztosítás és írásbeli szerződés.</w:t>
            </w:r>
          </w:p>
        </w:tc>
      </w:tr>
      <w:tr>
        <w:tc>
          <w:tcPr>
            <w:tcW w:type="dxa" w:w="4646"/>
          </w:tcPr>
          <w:p>
            <w:pPr>
              <w:spacing w:after="0" w:line="240" w:lineRule="auto"/>
            </w:pPr>
            <w:r>
              <w:rPr>
                <w:rFonts w:ascii="Times New Roman" w:hAnsi="Times New Roman" w:eastAsia="Times New Roman"/>
                <w:color w:val="000000"/>
                <w:sz w:val="18"/>
              </w:rPr>
              <w:t>2030. január 1.</w:t>
            </w:r>
          </w:p>
        </w:tc>
        <w:tc>
          <w:tcPr>
            <w:tcW w:type="dxa" w:w="4646"/>
          </w:tcPr>
          <w:p>
            <w:pPr>
              <w:spacing w:after="0" w:line="240" w:lineRule="auto"/>
            </w:pPr>
            <w:r>
              <w:rPr>
                <w:rFonts w:ascii="Times New Roman" w:hAnsi="Times New Roman" w:eastAsia="Times New Roman"/>
                <w:color w:val="000000"/>
                <w:sz w:val="18"/>
              </w:rPr>
              <w:t>A KFI-kötelezettség és névhasználat első köre; teljes panasz-, fegyelmi és minőségellenőrzési rendszer.</w:t>
            </w:r>
          </w:p>
        </w:tc>
      </w:tr>
      <w:tr>
        <w:tc>
          <w:tcPr>
            <w:tcW w:type="dxa" w:w="4646"/>
          </w:tcPr>
          <w:p>
            <w:pPr>
              <w:spacing w:after="0" w:line="240" w:lineRule="auto"/>
            </w:pPr>
            <w:r>
              <w:rPr>
                <w:rFonts w:ascii="Times New Roman" w:hAnsi="Times New Roman" w:eastAsia="Times New Roman"/>
                <w:color w:val="000000"/>
                <w:sz w:val="18"/>
              </w:rPr>
              <w:t>2031–2032.</w:t>
            </w:r>
          </w:p>
        </w:tc>
        <w:tc>
          <w:tcPr>
            <w:tcW w:type="dxa" w:w="4646"/>
          </w:tcPr>
          <w:p>
            <w:pPr>
              <w:spacing w:after="0" w:line="240" w:lineRule="auto"/>
            </w:pPr>
            <w:r>
              <w:rPr>
                <w:rFonts w:ascii="Times New Roman" w:hAnsi="Times New Roman" w:eastAsia="Times New Roman"/>
                <w:color w:val="000000"/>
                <w:sz w:val="18"/>
              </w:rPr>
              <w:t>A vizsgáztatási és továbbképzési közfeladatok fokozatos átvétele; első teljes hatásfelülvizsgálat.</w:t>
            </w:r>
          </w:p>
        </w:tc>
      </w:tr>
    </w:tbl>
    <w:p>
      <w:r>
        <w:rPr>
          <w:rFonts w:ascii="Times New Roman" w:hAnsi="Times New Roman" w:eastAsia="Times New Roman"/>
          <w:color w:val="000000"/>
        </w:rPr>
        <w:br w:type="page"/>
      </w:r>
    </w:p>
    <w:p>
      <w:pPr>
        <w:pStyle w:val="Heading1"/>
      </w:pPr>
      <w:r>
        <w:rPr>
          <w:rFonts w:ascii="Times New Roman" w:hAnsi="Times New Roman" w:eastAsia="Times New Roman"/>
          <w:color w:val="000000"/>
        </w:rPr>
        <w:t>II. RÉSZ – NORMASZÖVEG-MUNKAVÁLTOZAT</w:t>
      </w:r>
    </w:p>
    <w:p>
      <w:pPr>
        <w:pStyle w:val="Quote"/>
        <w:spacing w:after="120"/>
        <w:ind w:firstLine="397"/>
      </w:pPr>
      <w:r>
        <w:rPr>
          <w:rFonts w:ascii="Times New Roman" w:hAnsi="Times New Roman" w:eastAsia="Times New Roman"/>
          <w:b w:val="0"/>
          <w:i w:val="0"/>
          <w:color w:val="000000"/>
        </w:rPr>
        <w:t>A következő normaszöveg szakmai munkaváltozat. A kodifikáció során össze kell hangolni a köztestületekre, a közigazgatási hatósági eljárásra, az adatvédelemre, a cégnyilvántartásra, a szakmai képesítések elismerésére, a szolgáltatások szabad áramlására és a pénzmosás-megelőzésre vonatkozó szabályokkal.</w:t>
      </w:r>
    </w:p>
    <w:p>
      <w:pPr>
        <w:pStyle w:val="Heading1"/>
      </w:pPr>
      <w:r>
        <w:rPr>
          <w:rFonts w:ascii="Times New Roman" w:hAnsi="Times New Roman" w:eastAsia="Times New Roman"/>
          <w:color w:val="000000"/>
        </w:rPr>
        <w:t>2027. évi … törvény</w:t>
      </w:r>
    </w:p>
    <w:p>
      <w:pPr>
        <w:spacing w:after="120"/>
        <w:jc w:val="center"/>
      </w:pPr>
      <w:r>
        <w:rPr>
          <w:rFonts w:ascii="Times New Roman" w:hAnsi="Times New Roman" w:eastAsia="Times New Roman"/>
          <w:b/>
          <w:i w:val="0"/>
          <w:color w:val="000000"/>
        </w:rPr>
        <w:t>a Magyar Adótanácsadói és Könyvelői Szolgáltatók Kamarájáról, a könyvviteli és adózási szolgáltatások szakmai rendjéről, valamint a Korlátlan Felelősségű Iroda jogállásáról</w:t>
      </w:r>
    </w:p>
    <w:p>
      <w:pPr>
        <w:pStyle w:val="Legal"/>
        <w:spacing w:after="120"/>
        <w:ind w:firstLine="397"/>
      </w:pPr>
      <w:r>
        <w:rPr>
          <w:rFonts w:ascii="Times New Roman" w:hAnsi="Times New Roman" w:eastAsia="Times New Roman"/>
          <w:b w:val="0"/>
          <w:i w:val="0"/>
          <w:color w:val="000000"/>
        </w:rPr>
        <w:t>Az Országgyűlés annak érdekében, hogy a könyvviteli és adózási szolgáltatások átlátható, ellenőrizhető és felelős keretek között működjenek, erősödjön az adóbevételek, a vállalkozások, a munkavállalók és a gazdasági forgalom biztonsága, valamint korszerű, gyakorlati alapú szakmai képzési és vizsgarendszer jöjjön létre, a következő törvényt alkotja:</w:t>
      </w:r>
    </w:p>
    <w:p>
      <w:pPr>
        <w:pStyle w:val="Heading2"/>
      </w:pPr>
      <w:r>
        <w:rPr>
          <w:rFonts w:ascii="Times New Roman" w:hAnsi="Times New Roman" w:eastAsia="Times New Roman"/>
          <w:color w:val="000000"/>
        </w:rPr>
        <w:t>I. Fejezet</w:t>
        <w:br/>
        <w:t>Általános rendelkezések</w:t>
      </w:r>
    </w:p>
    <w:p>
      <w:pPr>
        <w:pStyle w:val="Legal"/>
        <w:ind w:left="397" w:right="227" w:firstLine="0"/>
      </w:pPr>
      <w:r>
        <w:rPr>
          <w:rFonts w:ascii="Times New Roman" w:hAnsi="Times New Roman" w:eastAsia="Times New Roman"/>
          <w:color w:val="000000"/>
        </w:rPr>
        <w:t>1. § (1) E törvény hatálya kiterjed a Magyarország területén könyvviteli szolgáltatást, bérszámfejtési szolgáltatást, bevalláskészítést, adótanácsadást vagy adóhatóság előtti szakmai képviseletet üzletszerűen végző természetes személyre és szervezetre.</w:t>
        <w:br/>
        <w:t>(2) E törvény hatálya kiterjed arra a természetes személyre is, aki a Magyarországon elismert mérlegképes könyvelői, adótanácsadói, adószakértői vagy okleveles adószakértői jogosultsággal rendelkezik.</w:t>
        <w:br/>
        <w:t>(3) A kizárólag saját munkáltatója vagy azzal egy vállalatcsoportba tartozó szervezet részére, munkaviszonyban végzett belső könyvviteli tevékenység szolgáltatói tagságot nem keletkeztet.</w:t>
      </w:r>
    </w:p>
    <w:p>
      <w:pPr>
        <w:pStyle w:val="Legal"/>
        <w:ind w:left="397" w:right="227" w:firstLine="0"/>
      </w:pPr>
      <w:r>
        <w:rPr>
          <w:rFonts w:ascii="Times New Roman" w:hAnsi="Times New Roman" w:eastAsia="Times New Roman"/>
          <w:color w:val="000000"/>
        </w:rPr>
        <w:t>2. § E törvény alkalmazásában:</w:t>
        <w:br/>
        <w:t>a) adózási szolgáltatás: más személy részére ellenérték fejében végzett adójogi helyzetértékelés, adókötelezettség-meghatározás, bevalláskészítés, adótervezés, adóhatósági képviselet vagy ezekhez kapcsolódó személyre szabott szakmai tanácsadás;</w:t>
        <w:br/>
        <w:t>b) bevalláskészítés: adóbevallás, adatszolgáltatás, bejelentés vagy változásbejelentés adatainak szakmai összeállítása, ellenőrzése vagy benyújtása;</w:t>
        <w:br/>
        <w:t>c) bérszámfejtési szolgáltatás: munkabér, megbízási díj, társadalombiztosítási ellátás, levonás, járulék vagy kapcsolódó közteher rendszeres számítása és nyilvántartása;</w:t>
        <w:br/>
        <w:t>d) könyvviteli szolgáltatás: a számvitelről szóló 2000. évi C. törvény 150. §-a szerinti tevékenység, továbbá az egyéni vállalkozó, őstermelő vagy más, beszámolókészítésre nem kötelezett személy gazdasági nyilvántartásainak rendszeres vezetése;</w:t>
        <w:br/>
        <w:t>e) szolgáltató: az a természetes személy vagy szervezet, aki vagy amely más személy részére üzletszerűen az a)–d) pont szerinti szolgáltatást nyújt;</w:t>
        <w:br/>
        <w:t>f) szakmai tag: a Kamara egyéni nyilvántartásában szereplő természetes személy;</w:t>
        <w:br/>
        <w:t>g) szolgáltatói tag: a Kamara szolgáltatói nyilvántartásában szereplő személy vagy szervezet;</w:t>
        <w:br/>
        <w:t>h) felelős szakmai vezető: a szolgáltató tevékenységét ténylegesen irányító, megfelelő jogosultságú szakmai tag;</w:t>
        <w:br/>
        <w:t>i) KFI: a Kamara által nyilvántartott Korlátlan Felelősségű Iroda.</w:t>
      </w:r>
    </w:p>
    <w:p>
      <w:pPr>
        <w:pStyle w:val="Legal"/>
        <w:ind w:left="397" w:right="227" w:firstLine="0"/>
      </w:pPr>
      <w:r>
        <w:rPr>
          <w:rFonts w:ascii="Times New Roman" w:hAnsi="Times New Roman" w:eastAsia="Times New Roman"/>
          <w:color w:val="000000"/>
        </w:rPr>
        <w:t>3. § (1) A könyvviteli és adózási szolgáltatás közérdekű bizalmi tevékenység.</w:t>
        <w:br/>
        <w:t>(2) A szolgáltató köteles függetlenül, szakszerűen, jóhiszeműen, az ügyfél jogszerű érdekeit és a közteherviselés törvényes rendjét egyaránt figyelembe véve eljárni.</w:t>
        <w:br/>
        <w:t>(3) A szolgáltató nem működhet közre olyan ügyletben, amelyről tudja, hogy bűncselekmény, költségvetési csalás, pénzmosás vagy más súlyos jogsértés elkövetésére irányul.</w:t>
      </w:r>
    </w:p>
    <w:p>
      <w:pPr>
        <w:pStyle w:val="Heading2"/>
      </w:pPr>
      <w:r>
        <w:rPr>
          <w:rFonts w:ascii="Times New Roman" w:hAnsi="Times New Roman" w:eastAsia="Times New Roman"/>
          <w:color w:val="000000"/>
        </w:rPr>
        <w:t>II. Fejezet</w:t>
        <w:br/>
        <w:t>A Magyar Adótanácsadói és Könyvelői Szolgáltatók Kamarája</w:t>
      </w:r>
    </w:p>
    <w:p>
      <w:pPr>
        <w:pStyle w:val="Legal"/>
        <w:ind w:left="397" w:right="227" w:firstLine="0"/>
      </w:pPr>
      <w:r>
        <w:rPr>
          <w:rFonts w:ascii="Times New Roman" w:hAnsi="Times New Roman" w:eastAsia="Times New Roman"/>
          <w:color w:val="000000"/>
        </w:rPr>
        <w:t>4. § (1) A Magyar Adótanácsadói és Könyvelői Szolgáltatók Kamarája – rövid nevén MAX Kamara – önkormányzattal rendelkező köztestület.</w:t>
        <w:br/>
        <w:t>(2) A Kamara jogi személy. Székhelye Budapest.</w:t>
        <w:br/>
        <w:t>(3) A Kamara felett a törvényességi felügyeletet az adópolitikáért felelős miniszter gyakorolja. A felügyelet szakmai ügyben nem eredményezhet utasítási jogot.</w:t>
      </w:r>
    </w:p>
    <w:p>
      <w:pPr>
        <w:pStyle w:val="Legal"/>
        <w:ind w:left="397" w:right="227" w:firstLine="0"/>
      </w:pPr>
      <w:r>
        <w:rPr>
          <w:rFonts w:ascii="Times New Roman" w:hAnsi="Times New Roman" w:eastAsia="Times New Roman"/>
          <w:color w:val="000000"/>
        </w:rPr>
        <w:t>5. § A Kamara közfeladata különösen:</w:t>
        <w:br/>
        <w:t>a) a szakmai és szolgáltatói nyilvántartás vezetése;</w:t>
        <w:br/>
        <w:t>b) a jogosultság megadása, szüneteltetése, korlátozása és megszüntetése;</w:t>
        <w:br/>
        <w:t>c) a KFI-jogállás megadása és felügyelete;</w:t>
        <w:br/>
        <w:t>d) szakmai, etikai, minőségellenőrzési, adatvagyon-kezelési és iratátadási szabályzat alkotása;</w:t>
        <w:br/>
        <w:t>e) a szakmai felelősségbiztosítás ellenőrzése és a kártalanítási alap működtetése;</w:t>
        <w:br/>
        <w:t>f) a vizsgáztatási és továbbképzési közfeladatok ellátása;</w:t>
        <w:br/>
        <w:t>g) panaszkezelés, közvetítés és fegyelmi eljárás;</w:t>
        <w:br/>
        <w:t>h) a jogosulatlan szolgáltatás elleni fellépés;</w:t>
        <w:br/>
        <w:t>i) szakmai állásfoglalások, útmutatók és minták kiadása;</w:t>
        <w:br/>
        <w:t>j) a jogalkotás és a hatósági informatikai rendszerek szakmai véleményezése;</w:t>
        <w:br/>
        <w:t>k) nyilvános szolgáltatókereső működtetése.</w:t>
      </w:r>
    </w:p>
    <w:p>
      <w:pPr>
        <w:pStyle w:val="Legal"/>
        <w:ind w:left="397" w:right="227" w:firstLine="0"/>
      </w:pPr>
      <w:r>
        <w:rPr>
          <w:rFonts w:ascii="Times New Roman" w:hAnsi="Times New Roman" w:eastAsia="Times New Roman"/>
          <w:color w:val="000000"/>
        </w:rPr>
        <w:t>6. § (1) A Kamara szervei: a küldöttgyűlés, az elnökség, az elnök, az ellenőrző bizottság, a választási bizottság, a szakmai jogosultsági bizottság, a vizsgabizottság, a minőségellenőrzési bizottság, a fegyelmi bizottság és a területi szervezetek.</w:t>
        <w:br/>
        <w:t>(2) A Kamara alapszabálya további szakmai tagozatokat és bizottságokat hozhat létre.</w:t>
        <w:br/>
        <w:t>(3) A fegyelmi, minőségellenőrzési és vizsgajogorvoslati ügyekben eljáró személyek nem utasíthatók.</w:t>
      </w:r>
    </w:p>
    <w:p>
      <w:pPr>
        <w:pStyle w:val="Legal"/>
        <w:ind w:left="397" w:right="227" w:firstLine="0"/>
      </w:pPr>
      <w:r>
        <w:rPr>
          <w:rFonts w:ascii="Times New Roman" w:hAnsi="Times New Roman" w:eastAsia="Times New Roman"/>
          <w:color w:val="000000"/>
        </w:rPr>
        <w:t>7. § (1) Az egyéni szakmai tag kamarai tagdíjat nem fizet.</w:t>
        <w:br/>
        <w:t>(2) A szolgáltatói tag éves kamarai működési hozzájárulást fizet, amelynek mértéke a szolgáltatási árbevételhez, ügyfélszámhoz és kockázati osztályhoz igazodik.</w:t>
        <w:br/>
        <w:t>(3) A Kamara költségvetése, vezetői juttatásai, szerződései, beszerzései és alapjainak felhasználása nyilvános.</w:t>
      </w:r>
    </w:p>
    <w:p>
      <w:pPr>
        <w:pStyle w:val="Heading2"/>
      </w:pPr>
      <w:r>
        <w:rPr>
          <w:rFonts w:ascii="Times New Roman" w:hAnsi="Times New Roman" w:eastAsia="Times New Roman"/>
          <w:color w:val="000000"/>
        </w:rPr>
        <w:t>III. Fejezet</w:t>
        <w:br/>
        <w:t>Szakmai és szolgáltatói tagság</w:t>
      </w:r>
    </w:p>
    <w:p>
      <w:pPr>
        <w:pStyle w:val="Legal"/>
        <w:ind w:left="397" w:right="227" w:firstLine="0"/>
      </w:pPr>
      <w:r>
        <w:rPr>
          <w:rFonts w:ascii="Times New Roman" w:hAnsi="Times New Roman" w:eastAsia="Times New Roman"/>
          <w:color w:val="000000"/>
        </w:rPr>
        <w:t>8. § (1) A Kamara szakmai tagja az a természetes személy, aki mérlegképes könyvelői, adótanácsadói, adószakértői, okleveles adószakértői vagy külön törvény alapján ezzel egyenértékű jogosultsággal rendelkezik.</w:t>
        <w:br/>
        <w:t>(2) A törvény hatálybalépésekor érvényes állami nyilvántartásban szereplő személy a Kamara szakmai tagjává külön vizsga nélkül válik.</w:t>
        <w:br/>
        <w:t>(3) A szakmai tagság feltétele a büntetlen előélet, a foglalkozástól eltiltás hiánya és a továbbképzési kötelezettség teljesítése.</w:t>
      </w:r>
    </w:p>
    <w:p>
      <w:pPr>
        <w:pStyle w:val="Legal"/>
        <w:ind w:left="397" w:right="227" w:firstLine="0"/>
      </w:pPr>
      <w:r>
        <w:rPr>
          <w:rFonts w:ascii="Times New Roman" w:hAnsi="Times New Roman" w:eastAsia="Times New Roman"/>
          <w:color w:val="000000"/>
        </w:rPr>
        <w:t>9. § (1) Szolgáltatói tagság nélkül könyvviteli vagy adózási szolgáltatás nem nyújtható.</w:t>
        <w:br/>
        <w:t>(2) A szolgáltatói nyilvántartásba vétel feltétele:</w:t>
        <w:br/>
        <w:t>a) legalább egy felelős szakmai vezető;</w:t>
        <w:br/>
        <w:t>b) írásbeli működési és helyettesítési rend;</w:t>
        <w:br/>
        <w:t>c) szakmai felelősségbiztosítás;</w:t>
        <w:br/>
        <w:t>d) elektronikus irat- és adatvagyon-kezelési rend;</w:t>
        <w:br/>
        <w:t>e) pénzmosás-megelőzési kötelezettség esetén a szükséges belső szabályzat;</w:t>
        <w:br/>
        <w:t>f) köztartozásmentesség vagy engedélyezett fizetési kedvezmény;</w:t>
        <w:br/>
        <w:t>g) a kamarai működési hozzájárulás megfizetése.</w:t>
      </w:r>
    </w:p>
    <w:p>
      <w:pPr>
        <w:pStyle w:val="Legal"/>
        <w:ind w:left="397" w:right="227" w:firstLine="0"/>
      </w:pPr>
      <w:r>
        <w:rPr>
          <w:rFonts w:ascii="Times New Roman" w:hAnsi="Times New Roman" w:eastAsia="Times New Roman"/>
          <w:color w:val="000000"/>
        </w:rPr>
        <w:t>10. § (1) A szolgáltató minden ügyfelével írásbeli szerződést köt.</w:t>
        <w:br/>
        <w:t>(2) A szerződés kötelezően tartalmazza a feladatok és határidők megosztását, az ügyfél adatszolgáltatási kötelezettségét, a díjazást, a felelősségbiztosítás adatait, az irat- és adatvagyon átadásának rendjét, valamint a panasz benyújtásának módját.</w:t>
        <w:br/>
        <w:t>(3) A szolgáltató a szerződés megszűnésétől számított tizenöt napon belül átadja az ügyfél teljes könyvelési adatvagyonát, iratait, elektronikus kivonatait és a folytatáshoz szükséges hozzáférési jegyzéket. Díjvita az átadást nem akadályozhatja.</w:t>
      </w:r>
    </w:p>
    <w:p>
      <w:pPr>
        <w:pStyle w:val="Legal"/>
        <w:ind w:left="397" w:right="227" w:firstLine="0"/>
      </w:pPr>
      <w:r>
        <w:rPr>
          <w:rFonts w:ascii="Times New Roman" w:hAnsi="Times New Roman" w:eastAsia="Times New Roman"/>
          <w:color w:val="000000"/>
        </w:rPr>
        <w:t>11. § (1) A nyilvános szolgáltatói nyilvántartás tartalmazza a szolgáltató nevét, székhelyét, kamarai számát, szolgáltatási körét, felelős szakmai vezetőjét, biztosításának fennállását, KFI-jogállását, valamint a jogerős korlátozás és felfüggesztés tényét.</w:t>
        <w:br/>
        <w:t>(2) Ügyféladat, üzleti titok, ügyfélszám és árbevétel csak a törvényben meghatározott ellenőrzési célra kezelhető, nyilvánosan nem tehető közzé.</w:t>
      </w:r>
    </w:p>
    <w:p>
      <w:pPr>
        <w:pStyle w:val="Heading2"/>
      </w:pPr>
      <w:r>
        <w:rPr>
          <w:rFonts w:ascii="Times New Roman" w:hAnsi="Times New Roman" w:eastAsia="Times New Roman"/>
          <w:color w:val="000000"/>
        </w:rPr>
        <w:t>IV. Fejezet</w:t>
        <w:br/>
        <w:t>A Korlátlan Felelősségű Iroda</w:t>
      </w:r>
    </w:p>
    <w:p>
      <w:pPr>
        <w:pStyle w:val="Legal"/>
        <w:ind w:left="397" w:right="227" w:firstLine="0"/>
      </w:pPr>
      <w:r>
        <w:rPr>
          <w:rFonts w:ascii="Times New Roman" w:hAnsi="Times New Roman" w:eastAsia="Times New Roman"/>
          <w:color w:val="000000"/>
        </w:rPr>
        <w:t>12. § (1) KFI-jogállás szükséges annak a szolgáltatónak, amely a végrehajtási rendeletben meghatározott ügyfélszámot, szolgáltatási árbevételt, szakmai létszámot vagy képviseleti terjedelmet eléri.</w:t>
        <w:br/>
        <w:t>(2) A kötelező határérték alatt működő szolgáltató önként kérheti a KFI-jogállást.</w:t>
        <w:br/>
        <w:t>(3) A KFI-jogállást a Kamara ötéves időtartamra adja meg, és annak feltételeit évente ellenőrzi.</w:t>
      </w:r>
    </w:p>
    <w:p>
      <w:pPr>
        <w:pStyle w:val="Legal"/>
        <w:ind w:left="397" w:right="227" w:firstLine="0"/>
      </w:pPr>
      <w:r>
        <w:rPr>
          <w:rFonts w:ascii="Times New Roman" w:hAnsi="Times New Roman" w:eastAsia="Times New Roman"/>
          <w:color w:val="000000"/>
        </w:rPr>
        <w:t>13. § (1) A KFI legalább egy felelős szakmai tagot jelöl ki. A felelős szakmai tag a szolgáltató szakmai irányításában ténylegesen részt vesz.</w:t>
        <w:br/>
        <w:t>(2) A felelős szakmai tag a KFI-vel egyetemlegesen, mögöttesen és korlátlanul felel a könyvviteli vagy adózási szolgáltatásból eredő, jogerősen megállapított kárnak azért a részéért, amelyet a KFI vagyona, a felelősségbiztosítás és a kamarai kártalanítási alap nem fedez.</w:t>
        <w:br/>
        <w:t>(3) A helytállási kötelezettség nem terjed ki a KFI általános üzleti tartozására, valamint az ügyfél szándékos adateltitkolásából, hamis adatszolgáltatásából vagy a KFI írásbeli figyelmeztetése ellenére fenntartott jogsértő döntéséből eredő kárra.</w:t>
        <w:br/>
        <w:t>(4) A felelős szakmai tag a tisztség megszűnését követő öt évig felel a tisztsége alatt teljesített szolgáltatásért.</w:t>
      </w:r>
    </w:p>
    <w:p>
      <w:pPr>
        <w:pStyle w:val="Legal"/>
        <w:ind w:left="397" w:right="227" w:firstLine="0"/>
      </w:pPr>
      <w:r>
        <w:rPr>
          <w:rFonts w:ascii="Times New Roman" w:hAnsi="Times New Roman" w:eastAsia="Times New Roman"/>
          <w:color w:val="000000"/>
        </w:rPr>
        <w:t>14. § (1) A KFI köteles a méretéhez és kockázatához igazodó szakmai felelősségbiztosítást fenntartani.</w:t>
        <w:br/>
        <w:t>(2) A biztosítás legkisebb összegét a Kormány ügyfélszám- és árbevételi sávonként rendeletben állapítja meg.</w:t>
        <w:br/>
        <w:t>(3) A biztosítás nem zárhatja ki a bevallási határidő elmulasztását, a bérszámfejtési hibát, az irat- és adatvesztést, valamint a szakmai téves tájékoztatásból eredő kárt, kivéve a szándékos károkozást.</w:t>
      </w:r>
    </w:p>
    <w:p>
      <w:pPr>
        <w:pStyle w:val="Legal"/>
        <w:ind w:left="397" w:right="227" w:firstLine="0"/>
      </w:pPr>
      <w:r>
        <w:rPr>
          <w:rFonts w:ascii="Times New Roman" w:hAnsi="Times New Roman" w:eastAsia="Times New Roman"/>
          <w:color w:val="000000"/>
        </w:rPr>
        <w:t>15. § (1) A „KFI” és a „Korlátlan Felelősségű Iroda” megjelölést kizárólag a kamarai nyilvántartásban szereplő szolgáltató használhatja.</w:t>
        <w:br/>
        <w:t>(2) A KFI a megjelölést a nevében vagy neve mellett, továbbá honlapján, ajánlatán, szerződésén és számláján feltünteti.</w:t>
        <w:br/>
        <w:t>(3) A jogosulatlan névhasználat miatt a Kamara közigazgatási bírságot szab ki és kezdeményezi a jogsértő elnevezés cégnyilvántartási vagy egyéni vállalkozói törlését.</w:t>
      </w:r>
    </w:p>
    <w:p>
      <w:pPr>
        <w:pStyle w:val="Heading2"/>
      </w:pPr>
      <w:r>
        <w:rPr>
          <w:rFonts w:ascii="Times New Roman" w:hAnsi="Times New Roman" w:eastAsia="Times New Roman"/>
          <w:color w:val="000000"/>
        </w:rPr>
        <w:t>V. Fejezet</w:t>
        <w:br/>
        <w:t>Szakmai felelősség, kártalanítás és ügyfélvédelem</w:t>
      </w:r>
    </w:p>
    <w:p>
      <w:pPr>
        <w:pStyle w:val="Legal"/>
        <w:ind w:left="397" w:right="227" w:firstLine="0"/>
      </w:pPr>
      <w:r>
        <w:rPr>
          <w:rFonts w:ascii="Times New Roman" w:hAnsi="Times New Roman" w:eastAsia="Times New Roman"/>
          <w:color w:val="000000"/>
        </w:rPr>
        <w:t>16. § (1) A szolgáltató köteles az ügyfelet a lényeges szakmai kockázatról és a jogszerűen választható megoldásokról igazolható módon tájékoztatni.</w:t>
        <w:br/>
        <w:t>(2) A szolgáltató nem felel azért a következményért, amely kizárólag az ügyfél késedelmes, hiányos vagy valótlan adatszolgáltatásából ered, ha az adatszolgáltatási hiányt és annak várható következményét igazolható módon jelezte.</w:t>
        <w:br/>
        <w:t>(3) A felelősséget az ügyfél hátrányára kizáró vagy a kötelező biztosítás összege alá korlátozó szerződési kikötés semmis.</w:t>
      </w:r>
    </w:p>
    <w:p>
      <w:pPr>
        <w:pStyle w:val="Legal"/>
        <w:ind w:left="397" w:right="227" w:firstLine="0"/>
      </w:pPr>
      <w:r>
        <w:rPr>
          <w:rFonts w:ascii="Times New Roman" w:hAnsi="Times New Roman" w:eastAsia="Times New Roman"/>
          <w:color w:val="000000"/>
        </w:rPr>
        <w:t>17. § (1) A Kamara elkülönített kártalanítási alapot működtet.</w:t>
        <w:br/>
        <w:t>(2) Az alap a jogerősen megállapított, más forrásból meg nem térült szakmai kár meghatározott részét téríti meg.</w:t>
        <w:br/>
        <w:t>(3) Az alap a kifizetett összeg erejéig a károkozó szolgáltatóval és felelős szakmai taggal szemben megtérítési igényt érvényesíthet.</w:t>
        <w:br/>
        <w:t>(4) Az alap részletes szabályait és a károsultankénti felső határt a Kormány rendeletben állapítja meg.</w:t>
      </w:r>
    </w:p>
    <w:p>
      <w:pPr>
        <w:pStyle w:val="Legal"/>
        <w:ind w:left="397" w:right="227" w:firstLine="0"/>
      </w:pPr>
      <w:r>
        <w:rPr>
          <w:rFonts w:ascii="Times New Roman" w:hAnsi="Times New Roman" w:eastAsia="Times New Roman"/>
          <w:color w:val="000000"/>
        </w:rPr>
        <w:t>18. § (1) A Kamara ingyenes ügyfélpanasz-rendszert és közvetítő eljárást működtet.</w:t>
        <w:br/>
        <w:t>(2) A közvetítő eljárás nem zárja ki a bírósági vagy hatósági jogérvényesítést.</w:t>
        <w:br/>
        <w:t>(3) A Kamara sürgős esetben ideiglenes intézkedéssel elrendelheti az ügyféladatok és iratok kiadását, valamint az elektronikus hozzáférések átadását.</w:t>
      </w:r>
    </w:p>
    <w:p>
      <w:pPr>
        <w:pStyle w:val="Heading2"/>
      </w:pPr>
      <w:r>
        <w:rPr>
          <w:rFonts w:ascii="Times New Roman" w:hAnsi="Times New Roman" w:eastAsia="Times New Roman"/>
          <w:color w:val="000000"/>
        </w:rPr>
        <w:t>VI. Fejezet</w:t>
        <w:br/>
        <w:t>Minőségellenőrzés és fegyelmi felelősség</w:t>
      </w:r>
    </w:p>
    <w:p>
      <w:pPr>
        <w:pStyle w:val="Legal"/>
        <w:ind w:left="397" w:right="227" w:firstLine="0"/>
      </w:pPr>
      <w:r>
        <w:rPr>
          <w:rFonts w:ascii="Times New Roman" w:hAnsi="Times New Roman" w:eastAsia="Times New Roman"/>
          <w:color w:val="000000"/>
        </w:rPr>
        <w:t>19. § (1) A Kamara kockázati alapú minőségellenőrzést végez.</w:t>
        <w:br/>
        <w:t>(2) A kockázati besorolásban figyelembe vehető a szolgáltató mérete, ügyfélszáma, korábbi mulasztása, adatbiztonsági eseménye, biztosítási kára, panaszainak száma és a hatóságok törvényes jelzése.</w:t>
        <w:br/>
        <w:t>(3) A minőségellenőrzés elsődleges célja a hiányosság megszüntetése. Bírság csak súlyos, ismételt vagy szándékos szabályszegés esetén szabható ki.</w:t>
      </w:r>
    </w:p>
    <w:p>
      <w:pPr>
        <w:pStyle w:val="Legal"/>
        <w:ind w:left="397" w:right="227" w:firstLine="0"/>
      </w:pPr>
      <w:r>
        <w:rPr>
          <w:rFonts w:ascii="Times New Roman" w:hAnsi="Times New Roman" w:eastAsia="Times New Roman"/>
          <w:color w:val="000000"/>
        </w:rPr>
        <w:t>20. § Fegyelmi vétséget követ el a szakmai vagy szolgáltatói tag, aki szakmai kötelezettségét vétkesen megszegi, a Kamara ellenőrzését akadályozza, ügyféladatot jogosulatlanul tart vissza, a felelősségbiztosítás fennállásáról valótlanul nyilatkozik, jogosulatlan személy közreműködését leplezi, vagy a szakma jó hírnevét súlyosan sértő magatartást tanúsít.</w:t>
      </w:r>
    </w:p>
    <w:p>
      <w:pPr>
        <w:pStyle w:val="Legal"/>
        <w:ind w:left="397" w:right="227" w:firstLine="0"/>
      </w:pPr>
      <w:r>
        <w:rPr>
          <w:rFonts w:ascii="Times New Roman" w:hAnsi="Times New Roman" w:eastAsia="Times New Roman"/>
          <w:color w:val="000000"/>
        </w:rPr>
        <w:t>21. § (1) Fegyelmi büntetés: figyelmeztetés, megrovás, pénzbírság, kötelező képzés, tevékenységi korlátozás, legfeljebb két évre szóló felfüggesztés, KFI-jogállás visszavonása, illetve kizárás.</w:t>
        <w:br/>
        <w:t>(2) A fegyelmi határozattal szemben közigazgatási per indítható.</w:t>
        <w:br/>
        <w:t>(3) A kizárás nem érinti az ügyfelek irat- és adatátadáshoz való jogát; a Kamara szükség esetén ideiglenes szakmai gondnokot rendel ki.</w:t>
      </w:r>
    </w:p>
    <w:p>
      <w:pPr>
        <w:pStyle w:val="Heading2"/>
      </w:pPr>
      <w:r>
        <w:rPr>
          <w:rFonts w:ascii="Times New Roman" w:hAnsi="Times New Roman" w:eastAsia="Times New Roman"/>
          <w:color w:val="000000"/>
        </w:rPr>
        <w:t>VII. Fejezet</w:t>
        <w:br/>
        <w:t>Vizsgáztatás és továbbképzés</w:t>
      </w:r>
    </w:p>
    <w:p>
      <w:pPr>
        <w:pStyle w:val="Legal"/>
        <w:ind w:left="397" w:right="227" w:firstLine="0"/>
      </w:pPr>
      <w:r>
        <w:rPr>
          <w:rFonts w:ascii="Times New Roman" w:hAnsi="Times New Roman" w:eastAsia="Times New Roman"/>
          <w:color w:val="000000"/>
        </w:rPr>
        <w:t>22. § (1) A Kamara ellátja a mérlegképes könyvelői, adótanácsadói, adószakértői és okleveles adószakértői szakmai vizsgáztatás törvényben vagy kormányrendeletben meghatározott feladatait.</w:t>
        <w:br/>
        <w:t>(2) A vizsga gyakorlati szakmai alkalmasságot mér. A vizsgafeladatnak valós gazdasági eseményre, bizonylatra, főkönyvi adatra, bevallásra, bérszámfejtési vagy ügyfélhelyzetre kell épülnie.</w:t>
        <w:br/>
        <w:t>(3) A képzést, a feladatkészítést, a vizsgáztatást és a jogorvoslatot szervezetileg el kell különíteni.</w:t>
      </w:r>
    </w:p>
    <w:p>
      <w:pPr>
        <w:pStyle w:val="Legal"/>
        <w:ind w:left="397" w:right="227" w:firstLine="0"/>
      </w:pPr>
      <w:r>
        <w:rPr>
          <w:rFonts w:ascii="Times New Roman" w:hAnsi="Times New Roman" w:eastAsia="Times New Roman"/>
          <w:color w:val="000000"/>
        </w:rPr>
        <w:t>23. § (1) A szakmai tag rendszeres továbbképzésen vesz részt.</w:t>
        <w:br/>
        <w:t>(2) A továbbképzésben kötelezően megjelenik a számvitel, az adózás, a társadalombiztosítás, a bérszámfejtés, az elektronikus ügyintézés, az adatbiztonság, a pénzmosás-megelőzés és a szakmai felelősség.</w:t>
        <w:br/>
        <w:t>(3) A Kamara az ingyenesen hozzáférhető állami és kamarai szakmai tájékoztatást kreditértékkel ismeri el.</w:t>
      </w:r>
    </w:p>
    <w:p>
      <w:pPr>
        <w:pStyle w:val="Heading2"/>
      </w:pPr>
      <w:r>
        <w:rPr>
          <w:rFonts w:ascii="Times New Roman" w:hAnsi="Times New Roman" w:eastAsia="Times New Roman"/>
          <w:color w:val="000000"/>
        </w:rPr>
        <w:t>VIII. Fejezet</w:t>
        <w:br/>
        <w:t>Adatkezelés és hatósági együttműködés</w:t>
      </w:r>
    </w:p>
    <w:p>
      <w:pPr>
        <w:pStyle w:val="Legal"/>
        <w:ind w:left="397" w:right="227" w:firstLine="0"/>
      </w:pPr>
      <w:r>
        <w:rPr>
          <w:rFonts w:ascii="Times New Roman" w:hAnsi="Times New Roman" w:eastAsia="Times New Roman"/>
          <w:color w:val="000000"/>
        </w:rPr>
        <w:t>24. § (1) A NAV, a Magyar Államkincstár, a cégbíróság, az egyéni vállalkozói nyilvántartást vezető szerv és a pénzmosás-megelőzési felügyeleti szerv a Kamara részére a nyilvántartási és ellenőrzési feladatokhoz szükséges adatot törvényben meghatározott körben átadja.</w:t>
        <w:br/>
        <w:t>(2) A NAV a Kamara induló szolgáltatói jegyzékéhez átadja azoknak a személyeknek és szervezeteknek az azonosító adatait, akik vagy amelyek meghatározott időszakban több, egymástól független adózó nevében rendszeresen bevallást nyújtottak be vagy állandó meghatalmazással rendelkeztek.</w:t>
        <w:br/>
        <w:t>(3) Az érintettet az előzetes jegyzékbe vételről értesíteni kell, és számára legalább kilencven napos nyilatkozati, bizonyítási és jogorvoslati lehetőséget kell biztosítani.</w:t>
      </w:r>
    </w:p>
    <w:p>
      <w:pPr>
        <w:pStyle w:val="Legal"/>
        <w:ind w:left="397" w:right="227" w:firstLine="0"/>
      </w:pPr>
      <w:r>
        <w:rPr>
          <w:rFonts w:ascii="Times New Roman" w:hAnsi="Times New Roman" w:eastAsia="Times New Roman"/>
          <w:color w:val="000000"/>
        </w:rPr>
        <w:t>25. § (1) A Kamara és a NAV szakmai jelzőrendszert működtet a jogosulatlan szolgáltatás, a tömeges bevallási mulasztás, az ügyféladatok veszélyeztetése és a súlyos gazdasági visszaélés felismerésére.</w:t>
        <w:br/>
        <w:t>(2) A jelzőrendszer nem eredményezhet általános ügyféladat-átadást vagy a szakmai titok indokolatlan korlátozását.</w:t>
        <w:br/>
        <w:t>(3) A Kamara a tag ügyféladatát csak törvényben meghatározott ügyben és mértékben kérheti meg.</w:t>
      </w:r>
    </w:p>
    <w:p>
      <w:pPr>
        <w:pStyle w:val="Legal"/>
        <w:ind w:left="397" w:right="227" w:firstLine="0"/>
      </w:pPr>
      <w:r>
        <w:rPr>
          <w:rFonts w:ascii="Times New Roman" w:hAnsi="Times New Roman" w:eastAsia="Times New Roman"/>
          <w:color w:val="000000"/>
        </w:rPr>
        <w:t>26. § (1) A kamarai nyilvántartás közhiteles hatósági nyilvántartás.</w:t>
        <w:br/>
        <w:t>(2) A személyes adatokat a tagság megszűnésétől számított tíz évig, a fegyelmi és kártalanítási ügy iratait a jogerős befejezéstől számított tíz évig kell megőrizni.</w:t>
        <w:br/>
        <w:t>(3) Nyilvánosan csak a 11. § (1) bekezdésében meghatározott adatok ismerhetők meg.</w:t>
      </w:r>
    </w:p>
    <w:p>
      <w:pPr>
        <w:pStyle w:val="Heading2"/>
      </w:pPr>
      <w:r>
        <w:rPr>
          <w:rFonts w:ascii="Times New Roman" w:hAnsi="Times New Roman" w:eastAsia="Times New Roman"/>
          <w:color w:val="000000"/>
        </w:rPr>
        <w:t>IX. Fejezet</w:t>
        <w:br/>
        <w:t>Átmeneti és záró rendelkezések</w:t>
      </w:r>
    </w:p>
    <w:p>
      <w:pPr>
        <w:pStyle w:val="Legal"/>
        <w:ind w:left="397" w:right="227" w:firstLine="0"/>
      </w:pPr>
      <w:r>
        <w:rPr>
          <w:rFonts w:ascii="Times New Roman" w:hAnsi="Times New Roman" w:eastAsia="Times New Roman"/>
          <w:color w:val="000000"/>
        </w:rPr>
        <w:t>27. § (1) A törvény 2028. január 1-jén lép hatályba, a (2)–(6) bekezdésben meghatározott eltéréssel.</w:t>
        <w:br/>
        <w:t>(2) A Kamara átmeneti szervei 2027. július 1-jén alakulnak meg.</w:t>
        <w:br/>
        <w:t>(3) A törvény hatálybalépésekor állami nyilvántartásban szereplő szakember egyéni kamarai tagsága automatikusan létrejön.</w:t>
        <w:br/>
        <w:t>(4) A szolgáltató 2028. december 31-ig díjmentesen jelentkezhet a szolgáltatói nyilvántartásba.</w:t>
        <w:br/>
        <w:t>(5) 2029. január 1-jétől szolgáltatói tagság nélkül új megbízás nem vállalható.</w:t>
        <w:br/>
        <w:t>(6) A kötelező KFI-jogállás és a KFI-névhasználat 2030. január 1-jétől alkalmazandó.</w:t>
      </w:r>
    </w:p>
    <w:p>
      <w:pPr>
        <w:pStyle w:val="Legal"/>
        <w:ind w:left="397" w:right="227" w:firstLine="0"/>
      </w:pPr>
      <w:r>
        <w:rPr>
          <w:rFonts w:ascii="Times New Roman" w:hAnsi="Times New Roman" w:eastAsia="Times New Roman"/>
          <w:color w:val="000000"/>
        </w:rPr>
        <w:t>28. § Felhatalmazást kap a Kormány, hogy rendeletben állapítsa meg:</w:t>
        <w:br/>
        <w:t>a) a KFI kötelező határértékeit;</w:t>
        <w:br/>
        <w:t>b) a felelősségbiztosítás legkisebb összegét;</w:t>
        <w:br/>
        <w:t>c) a kártalanítási alap működését;</w:t>
        <w:br/>
        <w:t>d) a nyilvántartások részletes adattartalmát;</w:t>
        <w:br/>
        <w:t>e) a vizsgáztatás és továbbképzés részletes szabályait;</w:t>
        <w:br/>
        <w:t>f) a más tagállamban letelepedett szolgáltató elismerési és ideiglenes szolgáltatási eljárását;</w:t>
        <w:br/>
        <w:t>g) a szolgáltatói kamarai működési hozzájárulás legmagasabb sávjait.</w:t>
      </w:r>
    </w:p>
    <w:p>
      <w:pPr>
        <w:pStyle w:val="Legal"/>
        <w:ind w:left="397" w:right="227" w:firstLine="0"/>
      </w:pPr>
      <w:r>
        <w:rPr>
          <w:rFonts w:ascii="Times New Roman" w:hAnsi="Times New Roman" w:eastAsia="Times New Roman"/>
          <w:color w:val="000000"/>
        </w:rPr>
        <w:t>29. § A Kamara e törvény hatálybalépésétől számított négy éven belül átfogó hatásvizsgálatot készít a piacra lépésre, a szolgáltatási díjakra, a szolgáltatók számára, az ügyfélpanaszokra, az adózási megfelelésre és a versenyre gyakorolt hatásról. A Kormány a hatásvizsgálatot az Országgyűlés elé terjeszti.</w:t>
      </w:r>
    </w:p>
    <w:p>
      <w:pPr>
        <w:pStyle w:val="Heading1"/>
      </w:pPr>
      <w:r>
        <w:rPr>
          <w:rFonts w:ascii="Times New Roman" w:hAnsi="Times New Roman" w:eastAsia="Times New Roman"/>
          <w:color w:val="000000"/>
        </w:rPr>
        <w:t>Kapcsolódó törvénymódosítások</w:t>
      </w:r>
    </w:p>
    <w:p>
      <w:pPr>
        <w:pStyle w:val="Heading2"/>
      </w:pPr>
      <w:r>
        <w:rPr>
          <w:rFonts w:ascii="Times New Roman" w:hAnsi="Times New Roman" w:eastAsia="Times New Roman"/>
          <w:color w:val="000000"/>
        </w:rPr>
        <w:t>1. A számvitelről szóló 2000. évi C. törvény módosítása</w:t>
      </w:r>
    </w:p>
    <w:p>
      <w:pPr>
        <w:pStyle w:val="Legal"/>
        <w:ind w:left="397" w:right="227" w:firstLine="0"/>
      </w:pPr>
      <w:r>
        <w:rPr>
          <w:rFonts w:ascii="Times New Roman" w:hAnsi="Times New Roman" w:eastAsia="Times New Roman"/>
          <w:color w:val="000000"/>
        </w:rPr>
        <w:t>30. § A számvitelről szóló 2000. évi C. törvény 150. §-a helyébe a következő rendelkezés lép:</w:t>
        <w:br/>
        <w:t>„150. § (1) E törvény alkalmazásában számviteli szolgáltatás a könyvviteli szolgáltatás és a könyvvizsgálói tevékenység.</w:t>
        <w:br/>
        <w:t>(2) A könyvviteli szolgáltatás körébe tartozik különösen a számviteli politika, a számlarend és a kapcsolódó szabályzatok elkészítése, a bizonylatok feldolgozása, a könyvviteli nyilvántartások vezetése, a főkönyvi és részletező nyilvántartások egyeztetése, a beszámoló összeállítása, az adatok elemzése, ellenőrzése és a számviteli információs rendszer szakmai irányítása.</w:t>
        <w:br/>
        <w:t>(3) Más személy részére üzletszerűen könyvviteli szolgáltatást kizárólag a Magyar Adótanácsadói és Könyvelői Szolgáltatók Kamarájának szolgáltatói nyilvántartásában szereplő személy vagy szervezet nyújthat.</w:t>
        <w:br/>
        <w:t>(4) A szolgáltató köteles a könyvelési adatvagyont az ügyfél tulajdonaként elkülönítetten, visszaállítható és átadható módon kezelni.”</w:t>
      </w:r>
    </w:p>
    <w:p>
      <w:pPr>
        <w:pStyle w:val="Legal"/>
        <w:ind w:left="397" w:right="227" w:firstLine="0"/>
      </w:pPr>
      <w:r>
        <w:rPr>
          <w:rFonts w:ascii="Times New Roman" w:hAnsi="Times New Roman" w:eastAsia="Times New Roman"/>
          <w:color w:val="000000"/>
        </w:rPr>
        <w:t>31. § A számvitelről szóló 2000. évi C. törvény 151. §-a helyébe a következő rendelkezés lép:</w:t>
        <w:br/>
        <w:t>„151. § (1) A vállalkozó a könyvviteli szolgáltatás körébe tartozó feladatok irányításával, vezetésével és a beszámoló elkészítésével olyan természetes személyt köteles megbízni vagy foglalkoztatni, aki a MAX Kamara szakmai nyilvántartásában szerepel, vagy olyan szolgáltatót köteles igénybe venni, amely a Kamara szolgáltatói nyilvántartásában szerepel.</w:t>
        <w:br/>
        <w:t>(2) Az (1) bekezdés szerinti kötelezettség alól a Kormány rendeletében meghatározott, csekély gazdasági súlyú vállalkozó mentesülhet. A mentesülés nem terjed ki arra, aki más személy részére üzletszerűen könyvviteli szolgáltatást nyújt.</w:t>
        <w:br/>
        <w:t>(3) A nyilvántartásba vétel, a továbbképzés, a szolgáltatói működés és a KFI-jogállás részletes szabályait külön törvény és kormányrendelet állapítja meg.”</w:t>
      </w:r>
    </w:p>
    <w:p>
      <w:pPr>
        <w:pStyle w:val="Legal"/>
        <w:ind w:left="397" w:right="227" w:firstLine="0"/>
      </w:pPr>
      <w:r>
        <w:rPr>
          <w:rFonts w:ascii="Times New Roman" w:hAnsi="Times New Roman" w:eastAsia="Times New Roman"/>
          <w:color w:val="000000"/>
        </w:rPr>
        <w:t>32. § A számvitelről szóló 2000. évi C. törvény 152–152/B. §-ában a könyvviteli szolgáltatást végzők állami nyilvántartását és határon átnyúló szolgáltatását szabályozó rendelkezéseket úgy kell módosítani, hogy a nyilvántartást és az elismerési eljárást 2029. január 1-jétől a MAX Kamara vezesse, az Európai Unió más tagállamában szerzett képesítések elismerésére és az ideiglenes szolgáltatásra vonatkozó uniós szabályok megtartásával.</w:t>
      </w:r>
    </w:p>
    <w:p>
      <w:pPr>
        <w:pStyle w:val="Heading2"/>
      </w:pPr>
      <w:r>
        <w:rPr>
          <w:rFonts w:ascii="Times New Roman" w:hAnsi="Times New Roman" w:eastAsia="Times New Roman"/>
          <w:color w:val="000000"/>
        </w:rPr>
        <w:t>2. Az adózás rendjéről szóló 2017. évi CL. törvény módosítása</w:t>
      </w:r>
    </w:p>
    <w:p>
      <w:pPr>
        <w:pStyle w:val="Legal"/>
        <w:ind w:left="397" w:right="227" w:firstLine="0"/>
      </w:pPr>
      <w:r>
        <w:rPr>
          <w:rFonts w:ascii="Times New Roman" w:hAnsi="Times New Roman" w:eastAsia="Times New Roman"/>
          <w:color w:val="000000"/>
        </w:rPr>
        <w:t>33. § Az adózás rendjéről szóló 2017. évi CL. törvény képviseleti szabályai a következő rendelkezéssel egészülnek ki:</w:t>
        <w:br/>
        <w:t>„Állandó meghatalmazás alapján üzletszerűen bevallást készítő vagy adózási szakmai képviseletet ellátó természetes személynek a MAX Kamara szakmai nyilvántartásában, az ilyen szolgáltatást nyújtó szervezetnek a Kamara szolgáltatói nyilvántartásában kell szerepelnie. A NAV a jogosultságot a meghatalmazás nyilvántartásba vételekor elektronikus úton ellenőrzi.”</w:t>
      </w:r>
    </w:p>
    <w:p>
      <w:pPr>
        <w:pStyle w:val="Legal"/>
        <w:ind w:left="397" w:right="227" w:firstLine="0"/>
      </w:pPr>
      <w:r>
        <w:rPr>
          <w:rFonts w:ascii="Times New Roman" w:hAnsi="Times New Roman" w:eastAsia="Times New Roman"/>
          <w:color w:val="000000"/>
        </w:rPr>
        <w:t>34. § Az adózás rendjéről szóló törvény felhatalmazó rendelkezése egészüljön ki a NAV és a MAX Kamara közötti, szolgáltatói piacfeltárást és jogosultság-ellenőrzést szolgáló adatátadás részletes szabályainak megalkotására adott felhatalmazással.</w:t>
      </w:r>
    </w:p>
    <w:p>
      <w:pPr>
        <w:pStyle w:val="Heading2"/>
      </w:pPr>
      <w:r>
        <w:rPr>
          <w:rFonts w:ascii="Times New Roman" w:hAnsi="Times New Roman" w:eastAsia="Times New Roman"/>
          <w:color w:val="000000"/>
        </w:rPr>
        <w:t>3. Az adóigazgatási rendtartásról szóló 2017. évi CLI. törvény módosítása</w:t>
      </w:r>
    </w:p>
    <w:p>
      <w:pPr>
        <w:pStyle w:val="Legal"/>
        <w:ind w:left="397" w:right="227" w:firstLine="0"/>
      </w:pPr>
      <w:r>
        <w:rPr>
          <w:rFonts w:ascii="Times New Roman" w:hAnsi="Times New Roman" w:eastAsia="Times New Roman"/>
          <w:color w:val="000000"/>
        </w:rPr>
        <w:t>35. § Az adóigazgatási rendtartás képviseleti szabályai között ki kell mondani, hogy adótanácsadói, adószakértői vagy könyvviteli szolgáltatás részeként rendszeresen eljáró meghatalmazott kamarai jogosultságát a NAV hivatalból ellenőrzi. A jogosultság felfüggesztéséről vagy megszűnéséről a Kamara elektronikus úton haladéktalanul értesíti a NAV-ot.</w:t>
      </w:r>
    </w:p>
    <w:p>
      <w:pPr>
        <w:pStyle w:val="Heading2"/>
      </w:pPr>
      <w:r>
        <w:rPr>
          <w:rFonts w:ascii="Times New Roman" w:hAnsi="Times New Roman" w:eastAsia="Times New Roman"/>
          <w:color w:val="000000"/>
        </w:rPr>
        <w:t>4. A pénzmosás és terrorizmus finanszírozása megelőzéséről szóló 2017. évi LIII. törvény módosítása</w:t>
      </w:r>
    </w:p>
    <w:p>
      <w:pPr>
        <w:pStyle w:val="Legal"/>
        <w:ind w:left="397" w:right="227" w:firstLine="0"/>
      </w:pPr>
      <w:r>
        <w:rPr>
          <w:rFonts w:ascii="Times New Roman" w:hAnsi="Times New Roman" w:eastAsia="Times New Roman"/>
          <w:color w:val="000000"/>
        </w:rPr>
        <w:t>36. § A pénzmosás-megelőzési törvényben a könyvviteli és adótanácsadási szolgáltatók szakmai felügyeletét – a hatóságok nyomozati és szankcionálási hatáskörének sérelme nélkül – a MAX Kamara közreműködésével kell megszervezni. A Kamara feladata a kockázati útmutatás, a szabályzatminták, a képzés, a kijavításra irányuló ellenőrzés és a súlyos vagy ismételt mulasztás jelzése.</w:t>
      </w:r>
    </w:p>
    <w:p>
      <w:pPr>
        <w:pStyle w:val="Legal"/>
        <w:ind w:left="397" w:right="227" w:firstLine="0"/>
      </w:pPr>
      <w:r>
        <w:rPr>
          <w:rFonts w:ascii="Times New Roman" w:hAnsi="Times New Roman" w:eastAsia="Times New Roman"/>
          <w:color w:val="000000"/>
        </w:rPr>
        <w:t>37. § A pénzmosás-megelőzési felügyeleti ellenőrzés során a dokumentum hiánya önmagában csak akkor alapozzon meg bírságot, ha a szolgáltató a hiány pótlására adott határidőt elmulasztotta, vagy a hiány tényleges kockázatot okozott. E szabály nem alkalmazható szándékos adateltitkolás, valótlan nyilatkozat vagy bejelentési kötelezettség tudatos megszegése esetén.</w:t>
      </w:r>
    </w:p>
    <w:p>
      <w:pPr>
        <w:pStyle w:val="Heading2"/>
      </w:pPr>
      <w:r>
        <w:rPr>
          <w:rFonts w:ascii="Times New Roman" w:hAnsi="Times New Roman" w:eastAsia="Times New Roman"/>
          <w:color w:val="000000"/>
        </w:rPr>
        <w:t>5. A cégnyilvántartásról és a cégnévről szóló szabályok módosítása</w:t>
      </w:r>
    </w:p>
    <w:p>
      <w:pPr>
        <w:pStyle w:val="Legal"/>
        <w:ind w:left="397" w:right="227" w:firstLine="0"/>
      </w:pPr>
      <w:r>
        <w:rPr>
          <w:rFonts w:ascii="Times New Roman" w:hAnsi="Times New Roman" w:eastAsia="Times New Roman"/>
          <w:color w:val="000000"/>
        </w:rPr>
        <w:t>38. § A cégnyilvántartási szabályok szerint a „KFI” toldat és a „Korlátlan Felelősségű Iroda” megjelölés kizárólag a MAX Kamara elektronikus igazolása alapján jegyezhető be. A Kamara a KFI-jogállás megszűnését elektronikus úton közli a cégbírósággal, amely a toldat törlésére megfelelő határidőt biztosít.</w:t>
      </w:r>
    </w:p>
    <w:p>
      <w:pPr>
        <w:pStyle w:val="Heading2"/>
      </w:pPr>
      <w:r>
        <w:rPr>
          <w:rFonts w:ascii="Times New Roman" w:hAnsi="Times New Roman" w:eastAsia="Times New Roman"/>
          <w:color w:val="000000"/>
        </w:rPr>
        <w:t>6. A Polgári Törvénykönyvről szóló 2013. évi V. törvényhez kapcsolódó szabály</w:t>
      </w:r>
    </w:p>
    <w:p>
      <w:pPr>
        <w:pStyle w:val="Legal"/>
        <w:ind w:left="397" w:right="227" w:firstLine="0"/>
      </w:pPr>
      <w:r>
        <w:rPr>
          <w:rFonts w:ascii="Times New Roman" w:hAnsi="Times New Roman" w:eastAsia="Times New Roman"/>
          <w:color w:val="000000"/>
        </w:rPr>
        <w:t>39. § Külön törvényben kell kimondani, hogy a KFI felelős szakmai tagjának helytállása nem társasági jogi általános tagi felelősség, hanem a szakmai szolgáltatási jogviszonyhoz kapcsolódó, törvényen alapuló mögöttes kötelezettség. A Ptk. kezességi és többalanyú kötelezettségi szabályait megfelelően kell alkalmazni, ha a kamarai törvény eltérően nem rendelkezik.</w:t>
      </w:r>
    </w:p>
    <w:p>
      <w:pPr>
        <w:pStyle w:val="Heading2"/>
      </w:pPr>
      <w:r>
        <w:rPr>
          <w:rFonts w:ascii="Times New Roman" w:hAnsi="Times New Roman" w:eastAsia="Times New Roman"/>
          <w:color w:val="000000"/>
        </w:rPr>
        <w:t>7. A könyvviteli és adótanácsadói nyilvántartási rendeletek átalakítása</w:t>
      </w:r>
    </w:p>
    <w:p>
      <w:pPr>
        <w:pStyle w:val="Legal"/>
        <w:ind w:left="397" w:right="227" w:firstLine="0"/>
      </w:pPr>
      <w:r>
        <w:rPr>
          <w:rFonts w:ascii="Times New Roman" w:hAnsi="Times New Roman" w:eastAsia="Times New Roman"/>
          <w:color w:val="000000"/>
        </w:rPr>
        <w:t>40. § A 93/2002. (V. 5.) Korm. rendeletben szabályozott könyvviteli nyilvántartási, továbbképzési és elismerési feladatokat, továbbá az adótanácsadók, adószakértők és okleveles adószakértők nyilvántartásáról és továbbképzéséről rendelkező szabályok feladatait ütemezetten át kell adni a MAX Kamarának. A korábbi nyilvántartások adatait teljes körűen, díjmentesen és elektronikus úton kell átadni.</w:t>
      </w:r>
    </w:p>
    <w:p>
      <w:pPr>
        <w:pStyle w:val="Heading2"/>
      </w:pPr>
      <w:r>
        <w:rPr>
          <w:rFonts w:ascii="Times New Roman" w:hAnsi="Times New Roman"/>
          <w:b w:val="0"/>
          <w:color w:val="000000"/>
          <w:sz w:val="22"/>
        </w:rPr>
        <w:t>8. A szakképzésről szóló 2019. évi LXXX. törvény módosítása</w:t>
      </w:r>
    </w:p>
    <w:p>
      <w:pPr/>
      <w:r>
        <w:rPr>
          <w:rFonts w:ascii="Times New Roman" w:hAnsi="Times New Roman"/>
          <w:b w:val="0"/>
          <w:color w:val="000000"/>
          <w:sz w:val="22"/>
        </w:rPr>
        <w:t>A törvény 82. §-ához kapcsolódóan külön ágazati szabály indokolt annak kimondására, hogy a Gazdálkodás és menedzsment ágazat pénzügyi, számviteli, könyvviteli és adózási tartalmú szakirányú oktatásában a külön jogszabályban meghatározott, nyilvántartott mérlegképes könyvelő szakirányú szakképzettsége elfogadható. A részletes személyi feltételeket továbbra is a végrehajtási rendelet határozza meg.</w:t>
      </w:r>
    </w:p>
    <w:p>
      <w:pPr/>
      <w:r>
        <w:rPr>
          <w:rFonts w:ascii="Times New Roman" w:hAnsi="Times New Roman"/>
          <w:b w:val="0"/>
          <w:color w:val="000000"/>
          <w:sz w:val="22"/>
        </w:rPr>
        <w:t>Javasolt normaszöveg:</w:t>
      </w:r>
    </w:p>
    <w:p>
      <w:pPr/>
      <w:r>
        <w:rPr>
          <w:rFonts w:ascii="Times New Roman" w:hAnsi="Times New Roman"/>
          <w:b w:val="0"/>
          <w:color w:val="000000"/>
          <w:sz w:val="22"/>
        </w:rPr>
        <w:t>„A szakképzésről szóló 2019. évi LXXX. törvény 82. §-a a következő (1a) bekezdéssel egészül ki:</w:t>
        <w:br/>
        <w:t>(1a) A Gazdálkodás és menedzsment ágazat pénzügyi, számviteli, könyvviteli vagy adózási tartalmú szakirányú oktatása tekintetében a Kormány rendeletében meghatározott feltételeknek megfelelő, könyvviteli szolgáltatás végzésére jogosult, nyilvántartott mérlegképes könyvelő szakirányú szakképzettségét a duális képzőhely oktatójára előírt szakirányú szakképzettségként el kell fogadni.”</w:t>
      </w:r>
    </w:p>
    <w:p>
      <w:pPr/>
      <w:r>
        <w:rPr>
          <w:rFonts w:ascii="Times New Roman" w:hAnsi="Times New Roman"/>
          <w:b w:val="0"/>
          <w:color w:val="000000"/>
          <w:sz w:val="22"/>
        </w:rPr>
        <w:t>A 100. § kamarai feladatmegosztását is ki kell egészíteni annak érdekében, hogy a MAX Kamara szakmai köztestületként ne párhuzamos duális nyilvántartást vezessen, hanem a gazdasági kamarával együttműködve igazolja a könyvelői szakmai jogosultságot és közreműködjön a könyvelési-adózási oktatói követelmények kialakításában.</w:t>
      </w:r>
    </w:p>
    <w:p>
      <w:pPr/>
      <w:r>
        <w:rPr>
          <w:rFonts w:ascii="Times New Roman" w:hAnsi="Times New Roman"/>
          <w:b w:val="0"/>
          <w:color w:val="000000"/>
          <w:sz w:val="22"/>
        </w:rPr>
        <w:t>Javasolt normaszöveg:</w:t>
      </w:r>
    </w:p>
    <w:p>
      <w:pPr/>
      <w:r>
        <w:rPr>
          <w:rFonts w:ascii="Times New Roman" w:hAnsi="Times New Roman"/>
          <w:b w:val="0"/>
          <w:color w:val="000000"/>
          <w:sz w:val="22"/>
        </w:rPr>
        <w:t>„A 2019. évi LXXX. törvény 100. §-a a következő (1a) bekezdéssel egészül ki:</w:t>
        <w:br/>
        <w:t>(1a) A gazdasági kamara a Gazdálkodás és menedzsment ágazat pénzügyi, számviteli, könyvviteli és adózási tartalmú szakirányú oktatása tekintetében együttműködik a Magyar Adótanácsadói és Könyvelői Szolgáltatók Kamarájával. A szakmai kamara igazolja a külön törvény szerinti szakmai nyilvántartásban szereplő személy könyvviteli jogosultságát és – a rendelkezésére álló adatok alapján – szakmai gyakorlatát, továbbá véleményezi az e területet érintő kamarai gyakorlati oktatói követelményeket.”</w:t>
      </w:r>
    </w:p>
    <w:p>
      <w:pPr>
        <w:pStyle w:val="Heading2"/>
      </w:pPr>
      <w:r>
        <w:rPr>
          <w:rFonts w:ascii="Times New Roman" w:hAnsi="Times New Roman"/>
          <w:b w:val="0"/>
          <w:color w:val="000000"/>
          <w:sz w:val="22"/>
        </w:rPr>
        <w:t>9. A 12/2020. (II. 7.) Korm. rendelet módosítása</w:t>
      </w:r>
    </w:p>
    <w:p>
      <w:pPr/>
      <w:r>
        <w:rPr>
          <w:rFonts w:ascii="Times New Roman" w:hAnsi="Times New Roman"/>
          <w:b w:val="0"/>
          <w:color w:val="000000"/>
          <w:sz w:val="22"/>
        </w:rPr>
        <w:t>A tényleges jogosultsági problémát közvetlenül a szakképzési törvény végrehajtási rendeletének 242. §-ában célszerű rendezni, mert ez a rendelkezés határozza meg a duális képzőhely oktatójának személyi feltételeit.</w:t>
      </w:r>
    </w:p>
    <w:p>
      <w:pPr/>
      <w:r>
        <w:rPr>
          <w:rFonts w:ascii="Times New Roman" w:hAnsi="Times New Roman"/>
          <w:b w:val="0"/>
          <w:color w:val="000000"/>
          <w:sz w:val="22"/>
        </w:rPr>
        <w:t>Javasolt normaszöveg:</w:t>
      </w:r>
    </w:p>
    <w:p>
      <w:pPr/>
      <w:r>
        <w:rPr>
          <w:rFonts w:ascii="Times New Roman" w:hAnsi="Times New Roman"/>
          <w:b w:val="0"/>
          <w:color w:val="000000"/>
          <w:sz w:val="22"/>
        </w:rPr>
        <w:t>„A 12/2020. (II. 7.) Korm. rendelet 242. §-a a következő (1a)–(1c) bekezdéssel egészül ki:</w:t>
        <w:br/>
        <w:t>(1a) Az (1) bekezdés c) pontjának alkalmazásában a Gazdálkodás és menedzsment ágazatba tartozó szakma pénzügyi, számviteli, könyvviteli vagy adózási tartalmú szakirányú oktatása tekintetében a szakmának megfelelő szakirányú szakképzettséggel rendelkező személynek kell tekinteni azt, aki a számvitelről szóló 2000. évi C. törvény 151. §-a alapján könyvviteli szolgáltatás végzésére jogosult és a könyvviteli szolgáltatást végzők nyilvántartásában szerepel.</w:t>
        <w:br/>
        <w:t>(1b) Az (1a) bekezdés szerinti személy duális képzőhelyen oktatói tevékenységet akkor végezhet, ha legalább öt év igazolt, számviteli, könyvviteli, pénzügyi vagy adózási szakmai gyakorlattal rendelkezik. Az (1) bekezdés d) pontjában és a (2) bekezdésben meghatározott, az oktatói alkalmasságra vonatkozó követelményeket e személyre is alkalmazni kell.</w:t>
        <w:br/>
        <w:t>(1c) Az (1a) bekezdés alkalmazásához külön felsőfokú végzettség, illetve adótanácsadói, adószakértői vagy okleveles adószakértői képesítés nem követelhető meg.”</w:t>
      </w:r>
    </w:p>
    <w:p>
      <w:pPr/>
      <w:r>
        <w:rPr>
          <w:rFonts w:ascii="Times New Roman" w:hAnsi="Times New Roman"/>
          <w:b w:val="0"/>
          <w:color w:val="000000"/>
          <w:sz w:val="22"/>
        </w:rPr>
        <w:t>A végrehajtási rendelet záró rendelkezései között szerzettjog-védelmi szabályt is indokolt elhelyezni.</w:t>
      </w:r>
    </w:p>
    <w:p>
      <w:pPr/>
      <w:r>
        <w:rPr>
          <w:rFonts w:ascii="Times New Roman" w:hAnsi="Times New Roman"/>
          <w:b w:val="0"/>
          <w:color w:val="000000"/>
          <w:sz w:val="22"/>
        </w:rPr>
        <w:t>Javasolt normaszöveg:</w:t>
      </w:r>
    </w:p>
    <w:p>
      <w:pPr/>
      <w:r>
        <w:rPr>
          <w:rFonts w:ascii="Times New Roman" w:hAnsi="Times New Roman"/>
          <w:b w:val="0"/>
          <w:color w:val="000000"/>
          <w:sz w:val="22"/>
        </w:rPr>
        <w:t>„Aki a szakképzési rendszer vagy a mérlegképes könyvelői képesítés szabályozásának megváltozását megelőzően pénzügyi, számviteli, könyvviteli vagy adózási tartalmú gyakorlati, illetve szakirányú oktatást jogszerűen végzett, kizárólag a képesítés megnevezésének, azonosítójának, képzési rendszerbeli helyének vagy képesítési keretrendszer szerinti besorolásának megváltozása miatt e tevékenység folytatására való jogosultságát nem veszíti el, ha az e rendeletben előírt szakmai gyakorlati és oktatói alkalmassági követelményeknek megfelel.”</w:t>
      </w:r>
    </w:p>
    <w:p>
      <w:pPr>
        <w:pStyle w:val="Heading2"/>
      </w:pPr>
      <w:r>
        <w:rPr>
          <w:rFonts w:ascii="Times New Roman" w:hAnsi="Times New Roman"/>
          <w:b w:val="0"/>
          <w:color w:val="000000"/>
          <w:sz w:val="22"/>
        </w:rPr>
        <w:t>10. A könyvviteli szolgáltatást végzők nyilvántartásáról szóló 93/2002. (V. 5.) Korm. rendelet módosítása</w:t>
      </w:r>
    </w:p>
    <w:p>
      <w:pPr/>
      <w:r>
        <w:rPr>
          <w:rFonts w:ascii="Times New Roman" w:hAnsi="Times New Roman"/>
          <w:b w:val="0"/>
          <w:color w:val="000000"/>
          <w:sz w:val="22"/>
        </w:rPr>
        <w:t>A duális oktatói jogosultság egyszerű igazolhatósága érdekében a nyilvántartás adattartalmát ki kell egészíteni az igazolt szakmai gyakorlat kezdő időpontjával, illetve – kérelemre – a duális oktatási célú szakmai gyakorlat igazolásával. A MAX Kamara létrejöttével e feladat a kamarai szakmai nyilvántartás részévé válhat.</w:t>
      </w:r>
    </w:p>
    <w:p>
      <w:pPr/>
      <w:r>
        <w:rPr>
          <w:rFonts w:ascii="Times New Roman" w:hAnsi="Times New Roman"/>
          <w:b w:val="0"/>
          <w:color w:val="000000"/>
          <w:sz w:val="22"/>
        </w:rPr>
        <w:t>Javasolt szabályozási irány: a nyilvántartásba vételt végző szervezet vagy később a MAX Kamara kérelemre hatósági bizonyítványt, illetve kamarai igazolást állítson ki arról, hogy a személy a számviteli törvény 151. §-a szerinti könyvviteli szolgáltatás végzésére jogosult, mióta szerepel a nyilvántartásban, és milyen igazolt szakmai gyakorlati idővel rendelkezik. Az igazolást a területi gazdasági kamara a duális képzőhely nyilvántartási és ellenőrzési eljárásában köteles legyen elfogadni.</w:t>
      </w:r>
    </w:p>
    <w:p>
      <w:pPr>
        <w:pStyle w:val="Heading2"/>
      </w:pPr>
      <w:r>
        <w:rPr>
          <w:rFonts w:ascii="Times New Roman" w:hAnsi="Times New Roman"/>
          <w:b w:val="0"/>
          <w:color w:val="000000"/>
          <w:sz w:val="22"/>
        </w:rPr>
        <w:t>11. A 607/2023. (XII. 22.) Korm. rendelethez kapcsolódó pontosítás</w:t>
      </w:r>
    </w:p>
    <w:p>
      <w:pPr/>
      <w:r>
        <w:rPr>
          <w:rFonts w:ascii="Times New Roman" w:hAnsi="Times New Roman"/>
          <w:b w:val="0"/>
          <w:color w:val="000000"/>
          <w:sz w:val="22"/>
        </w:rPr>
        <w:t>A 607/2023. (XII. 22.) Korm. rendelet 1. melléklete a vállalkozási mérlegképes könyvelő hatósági képesítés munkaterületét önálló, teljes körű számviteli feladatellátásként határozza meg. A duális oktatási szabályok módosításakor erre kifejezetten utalni kell az indokolásban. A képesítés oktatói célú elfogadását azonban nem e rendeletben, hanem a 12/2020. (II. 7.) Korm. rendelet 242. §-ában célszerű rendezni, mert az utóbbi a duális oktatók személyi követelményeinek közvetlen jogforrása.</w:t>
      </w:r>
    </w:p>
    <w:p>
      <w:pPr/>
      <w:r>
        <w:rPr>
          <w:rFonts w:ascii="Times New Roman" w:hAnsi="Times New Roman"/>
          <w:b w:val="0"/>
          <w:color w:val="000000"/>
          <w:sz w:val="22"/>
        </w:rPr>
        <w:t>A korábbi 55 344 07 vállalkozási mérlegképes könyvelő szakképesítés-ráépülés, a 04115002 vállalkozási mérlegképes könyvelő szakképesítés és a 607/2023. (XII. 22.) Korm. rendelet szerinti hatósági képesítés közötti jogfolytonosságot a végrehajtási szabályokban egyértelműen el kell ismerni. A jogosultság szempontjából nem a bizonyítvány elnevezése vagy kibocsátásának időpontja, hanem a könyvviteli szolgáltatás végzésére fennálló nyilvántartott jogosultság és az igazolt szakmai gyakorlat legyen meghatározó.</w:t>
      </w:r>
    </w:p>
    <w:p>
      <w:pPr>
        <w:pStyle w:val="Heading1"/>
      </w:pPr>
      <w:r>
        <w:rPr>
          <w:rFonts w:ascii="Times New Roman" w:hAnsi="Times New Roman" w:eastAsia="Times New Roman"/>
          <w:color w:val="000000"/>
        </w:rPr>
        <w:t>III. RÉSZ – RÉSZLETES JOGALKOTÁSI INDOKOLÁS</w:t>
      </w:r>
    </w:p>
    <w:p>
      <w:pPr>
        <w:pStyle w:val="Heading2"/>
      </w:pPr>
      <w:r>
        <w:rPr>
          <w:rFonts w:ascii="Times New Roman" w:hAnsi="Times New Roman" w:eastAsia="Times New Roman"/>
          <w:color w:val="000000"/>
        </w:rPr>
        <w:t>1. A kötelező kamarai tagság indoka</w:t>
      </w:r>
    </w:p>
    <w:p>
      <w:pPr>
        <w:spacing w:after="120"/>
        <w:ind w:firstLine="397"/>
      </w:pPr>
      <w:r>
        <w:rPr>
          <w:rFonts w:ascii="Times New Roman" w:hAnsi="Times New Roman" w:eastAsia="Times New Roman"/>
          <w:b w:val="0"/>
          <w:i w:val="0"/>
          <w:color w:val="000000"/>
        </w:rPr>
        <w:t>A kötelező tagság nem öncélú érdekképviseleti kényszer, hanem a szolgáltatási jogosultság, a felelősségi fedezet, a továbbképzés és a fegyelmi felügyelet egységes kerete. A szabályozás csak akkor igazolható, ha a Kamara tényleges szolgáltatást nyújt, az egyéni tagság díjmentes, és a döntéshozatal demokratikus, átlátható és bíróság előtt ellenőrizhető.</w:t>
      </w:r>
    </w:p>
    <w:p>
      <w:pPr>
        <w:pStyle w:val="Heading2"/>
      </w:pPr>
      <w:r>
        <w:rPr>
          <w:rFonts w:ascii="Times New Roman" w:hAnsi="Times New Roman" w:eastAsia="Times New Roman"/>
          <w:color w:val="000000"/>
        </w:rPr>
        <w:t>2. A szolgáltatói, nem pusztán személyi nyilvántartás indoka</w:t>
      </w:r>
    </w:p>
    <w:p>
      <w:pPr>
        <w:spacing w:after="120"/>
        <w:ind w:firstLine="397"/>
      </w:pPr>
      <w:r>
        <w:rPr>
          <w:rFonts w:ascii="Times New Roman" w:hAnsi="Times New Roman" w:eastAsia="Times New Roman"/>
          <w:b w:val="0"/>
          <w:i w:val="0"/>
          <w:color w:val="000000"/>
        </w:rPr>
        <w:t>A jelenlegi rendszer azt tudja megmondani, hogy egy személy rendelkezik-e meghatározott képesítéssel és továbbképzéssel. Azt nem mutatja meg, hogy ki szerződik az ügyféllel, hol őrzik az adatokat, ki helyettesít, van-e biztosítás, hány ügyfél kockázatát viseli az iroda, és ki felel a szakmai döntésekért. A szolgáltatói nyilvántartás ezt a hiányt szünteti meg.</w:t>
      </w:r>
    </w:p>
    <w:p>
      <w:pPr>
        <w:pStyle w:val="Heading2"/>
      </w:pPr>
      <w:r>
        <w:rPr>
          <w:rFonts w:ascii="Times New Roman" w:hAnsi="Times New Roman" w:eastAsia="Times New Roman"/>
          <w:color w:val="000000"/>
        </w:rPr>
        <w:t>3. A KFI arányossága</w:t>
      </w:r>
    </w:p>
    <w:p>
      <w:pPr>
        <w:spacing w:after="120"/>
        <w:ind w:firstLine="397"/>
      </w:pPr>
      <w:r>
        <w:rPr>
          <w:rFonts w:ascii="Times New Roman" w:hAnsi="Times New Roman" w:eastAsia="Times New Roman"/>
          <w:b w:val="0"/>
          <w:i w:val="0"/>
          <w:color w:val="000000"/>
        </w:rPr>
        <w:t>A teljes magánvagyoni felelősség rendkívül erős beavatkozás, ezért nem terjedhet ki automatikusan minden kamarai tagra és minden üzleti tartozásra. A normaszöveg a helytállást a nagyobb vagy önként KFI-státuszt választó irodák felelős szakmai tagjaira, kizárólag a szakmai kár fedezetlen részére korlátozza. A biztosítás és a kártalanítási alap megelőzi a magánvagyon igénybevételét.</w:t>
      </w:r>
    </w:p>
    <w:p>
      <w:pPr>
        <w:pStyle w:val="Heading2"/>
      </w:pPr>
      <w:r>
        <w:rPr>
          <w:rFonts w:ascii="Times New Roman" w:hAnsi="Times New Roman" w:eastAsia="Times New Roman"/>
          <w:color w:val="000000"/>
        </w:rPr>
        <w:t>4. Az adatátadás alkotmányos korlátai</w:t>
      </w:r>
    </w:p>
    <w:p>
      <w:pPr>
        <w:spacing w:after="120"/>
        <w:ind w:firstLine="397"/>
      </w:pPr>
      <w:r>
        <w:rPr>
          <w:rFonts w:ascii="Times New Roman" w:hAnsi="Times New Roman" w:eastAsia="Times New Roman"/>
          <w:b w:val="0"/>
          <w:i w:val="0"/>
          <w:color w:val="000000"/>
        </w:rPr>
        <w:t>A NAV-adatok felhasználása csak törvényi célhoz kötötten, szükséges adatkörrel és az érintett jogorvoslatának biztosításával történhet. A bevallási beküldő vagy meghatalmazott személye önmagában nem bizonyít üzletszerű szolgáltatást. Ezért az állami adatok alapján csak előzetes jegyzék készülhet, amelyet nyilatkozati és bizonyítási eljárás követ.</w:t>
      </w:r>
    </w:p>
    <w:p>
      <w:pPr>
        <w:pStyle w:val="Heading2"/>
      </w:pPr>
      <w:r>
        <w:rPr>
          <w:rFonts w:ascii="Times New Roman" w:hAnsi="Times New Roman" w:eastAsia="Times New Roman"/>
          <w:color w:val="000000"/>
        </w:rPr>
        <w:t>5. A díjazási kérdések</w:t>
      </w:r>
    </w:p>
    <w:p>
      <w:pPr>
        <w:spacing w:after="120"/>
        <w:ind w:firstLine="397"/>
      </w:pPr>
      <w:r>
        <w:rPr>
          <w:rFonts w:ascii="Times New Roman" w:hAnsi="Times New Roman" w:eastAsia="Times New Roman"/>
          <w:b w:val="0"/>
          <w:i w:val="0"/>
          <w:color w:val="000000"/>
        </w:rPr>
        <w:t>A Kamara nem állapíthat meg kötelező vagy ajánlott minimális szolgáltatási díjat, mert ez versenykorlátozó hatású lehet. Ugyanakkor közzétehet névtelen piaci adatokat, szolgáltatási tartalmi mintákat és önköltségi számítási módszert, amelyek segítik az ügyfelet és a szolgáltatót a valós munkatartalom megértésében.</w:t>
      </w:r>
    </w:p>
    <w:p>
      <w:pPr>
        <w:pStyle w:val="Heading1"/>
      </w:pPr>
      <w:r>
        <w:rPr>
          <w:rFonts w:ascii="Times New Roman" w:hAnsi="Times New Roman" w:eastAsia="Times New Roman"/>
          <w:color w:val="000000"/>
        </w:rPr>
        <w:t>IV. RÉSZ – DÖNTÉSI JAVASLAT AZ MKOE ELNÖKSÉGE SZÁMÁRA</w:t>
      </w:r>
    </w:p>
    <w:p>
      <w:pPr>
        <w:pStyle w:val="ListNumber"/>
        <w:spacing w:after="60"/>
      </w:pPr>
      <w:r>
        <w:rPr>
          <w:rFonts w:ascii="Times New Roman" w:hAnsi="Times New Roman" w:eastAsia="Times New Roman"/>
          <w:color w:val="000000"/>
        </w:rPr>
        <w:t>Az MKOE Elnöksége elvi támogatását adja a MAX Kamara létrehozásának előkészítéséhez.</w:t>
      </w:r>
    </w:p>
    <w:p>
      <w:pPr>
        <w:pStyle w:val="ListNumber"/>
        <w:spacing w:after="60"/>
      </w:pPr>
      <w:r>
        <w:rPr>
          <w:rFonts w:ascii="Times New Roman" w:hAnsi="Times New Roman" w:eastAsia="Times New Roman"/>
          <w:color w:val="000000"/>
        </w:rPr>
        <w:t>Az Elnökség jóváhagyja, hogy a Kamara alapelve az egyéni tagdíjmentesség, a szolgáltatói nyilvántartás és a KFI-jogállás legyen.</w:t>
      </w:r>
    </w:p>
    <w:p>
      <w:pPr>
        <w:pStyle w:val="ListNumber"/>
        <w:spacing w:after="60"/>
      </w:pPr>
      <w:r>
        <w:rPr>
          <w:rFonts w:ascii="Times New Roman" w:hAnsi="Times New Roman" w:eastAsia="Times New Roman"/>
          <w:color w:val="000000"/>
        </w:rPr>
        <w:t>Az Elnökség munkacsoportot hoz létre a jogi, számviteli, adózási, oktatási, pénzmosás-megelőzési, adatvédelmi és informatikai részletszabályok kidolgozására.</w:t>
      </w:r>
    </w:p>
    <w:p>
      <w:pPr>
        <w:pStyle w:val="ListNumber"/>
        <w:spacing w:after="60"/>
      </w:pPr>
      <w:r>
        <w:rPr>
          <w:rFonts w:ascii="Times New Roman" w:hAnsi="Times New Roman" w:eastAsia="Times New Roman"/>
          <w:color w:val="000000"/>
        </w:rPr>
        <w:t>Az MKOE kezdeményezi a könyvelési piac állami adatforrásokra és önkéntes szakmai felmérésre épülő feltérképezését.</w:t>
      </w:r>
    </w:p>
    <w:p>
      <w:pPr>
        <w:pStyle w:val="ListNumber"/>
        <w:spacing w:after="60"/>
      </w:pPr>
      <w:r>
        <w:rPr>
          <w:rFonts w:ascii="Times New Roman" w:hAnsi="Times New Roman" w:eastAsia="Times New Roman"/>
          <w:color w:val="000000"/>
        </w:rPr>
        <w:t>Az MKOE megrendeli vagy elkészítteti az (EU) 2018/958 irányelv szerinti előzetes arányossági vizsgálatot.</w:t>
      </w:r>
    </w:p>
    <w:p>
      <w:pPr>
        <w:pStyle w:val="ListNumber"/>
        <w:spacing w:after="60"/>
      </w:pPr>
      <w:r>
        <w:rPr>
          <w:rFonts w:ascii="Times New Roman" w:hAnsi="Times New Roman" w:eastAsia="Times New Roman"/>
          <w:color w:val="000000"/>
        </w:rPr>
        <w:t>Az MKOE egyeztetést kezdeményez a NAV-val, a Magyar Államkincstárral, az érintett minisztériumokkal, a Magyar Könyvvizsgálói Kamarával, a vállalkozói érdekképviseletekkel és az adatvédelmi hatósággal.</w:t>
      </w:r>
    </w:p>
    <w:p>
      <w:pPr>
        <w:pStyle w:val="ListNumber"/>
        <w:spacing w:after="60"/>
      </w:pPr>
      <w:r>
        <w:rPr>
          <w:rFonts w:ascii="Times New Roman" w:hAnsi="Times New Roman" w:eastAsia="Times New Roman"/>
          <w:color w:val="000000"/>
        </w:rPr>
        <w:t>Az MKOE a normaszöveg véglegesítése előtt nyilvános szakmai vitát és kérdőíves felmérést szervez, külön a kis irodák, a munkaviszonyban dolgozók és az ügyfelek részére.</w:t>
      </w:r>
    </w:p>
    <w:p>
      <w:pPr/>
      <w:r>
        <w:rPr>
          <w:rFonts w:ascii="Times New Roman" w:hAnsi="Times New Roman"/>
          <w:b w:val="0"/>
          <w:color w:val="000000"/>
          <w:sz w:val="22"/>
        </w:rPr>
        <w:t>8. Az Elnökség támogatja, hogy a kamarai törvénycsomag külön rendezze a nyilvántartott mérlegképes könyvelők duális oktatói jogosultságát: legalább öt év igazolt szakmai gyakorlattal a Gazdálkodás és menedzsment ágazat pénzügyi, számviteli, könyvviteli és adózási tartalmú szakirányú oktatásában szakirányú szakképzettségük elismerését, az oktatói alkalmassági követelmények fenntartása mellett.</w:t>
      </w:r>
    </w:p>
    <w:p>
      <w:pPr/>
      <w:r>
        <w:rPr>
          <w:rFonts w:ascii="Times New Roman" w:hAnsi="Times New Roman"/>
          <w:b w:val="0"/>
          <w:color w:val="000000"/>
          <w:sz w:val="22"/>
        </w:rPr>
        <w:t>9. Az Elnökség támogatja a korábban jogszerűen gyakorolt szakmai oktatói jogosultságok védelmét, és azt az alapelvet, hogy képesítési rendszer vagy besorolás megváltozása önmagában ne szüntethessen meg korábban megszerzett szakmai jogosultságot.</w:t>
      </w:r>
    </w:p>
    <w:p>
      <w:pPr>
        <w:pStyle w:val="Heading1"/>
      </w:pPr>
      <w:r>
        <w:rPr>
          <w:rFonts w:ascii="Times New Roman" w:hAnsi="Times New Roman" w:eastAsia="Times New Roman"/>
          <w:color w:val="000000"/>
        </w:rPr>
        <w:t>Források és hivatkozott joganyag</w:t>
      </w:r>
    </w:p>
    <w:p>
      <w:pPr/>
      <w:r>
        <w:rPr>
          <w:rFonts w:ascii="Times New Roman" w:hAnsi="Times New Roman"/>
          <w:color w:val="000000"/>
          <w:sz w:val="20"/>
        </w:rPr>
        <w:t>04115002 Vállalkozási mérlegképes könyvelő programkövetelmény; MKKR 5, EKKR 5.</w:t>
      </w:r>
    </w:p>
    <w:p>
      <w:pPr/>
      <w:r>
        <w:rPr>
          <w:rFonts w:ascii="Times New Roman" w:hAnsi="Times New Roman"/>
          <w:color w:val="000000"/>
          <w:sz w:val="20"/>
        </w:rPr>
        <w:t>55 344 07 Vállalkozási mérlegképes könyvelő szakképesítés-ráépülés kerettanterve; szakmai előképzettségként a pénzügyi-számviteli ügyintéző képesítést is tartalmazta.</w:t>
      </w:r>
    </w:p>
    <w:p>
      <w:pPr/>
      <w:r>
        <w:rPr>
          <w:rFonts w:ascii="Times New Roman" w:hAnsi="Times New Roman"/>
          <w:color w:val="000000"/>
          <w:sz w:val="20"/>
        </w:rPr>
        <w:t>93/2002. (V. 5.) Korm. rendelet a könyvviteli szolgáltatást végzők nyilvántartásba vételéről.</w:t>
      </w:r>
    </w:p>
    <w:p>
      <w:pPr/>
      <w:r>
        <w:rPr>
          <w:rFonts w:ascii="Times New Roman" w:hAnsi="Times New Roman"/>
          <w:color w:val="000000"/>
          <w:sz w:val="20"/>
        </w:rPr>
        <w:t>607/2023. (XII. 22.) Korm. rendelet a számviteli hatósági képzések és vizsgák szabályairól, 1. melléklet.</w:t>
      </w:r>
    </w:p>
    <w:p>
      <w:pPr/>
      <w:r>
        <w:rPr>
          <w:rFonts w:ascii="Times New Roman" w:hAnsi="Times New Roman"/>
          <w:color w:val="000000"/>
          <w:sz w:val="20"/>
        </w:rPr>
        <w:t>12/2020. (II. 7.) Korm. rendelet a szakképzésről szóló törvény végrehajtásáról, különösen 242. §.</w:t>
      </w:r>
    </w:p>
    <w:p>
      <w:pPr/>
      <w:r>
        <w:rPr>
          <w:rFonts w:ascii="Times New Roman" w:hAnsi="Times New Roman"/>
          <w:color w:val="000000"/>
          <w:sz w:val="20"/>
        </w:rPr>
        <w:t>2019. évi LXXX. törvény a szakképzésről, különösen 82. § és 100. §.</w:t>
      </w:r>
    </w:p>
    <w:p>
      <w:pPr>
        <w:pStyle w:val="ListBullet"/>
        <w:spacing w:after="60"/>
      </w:pPr>
      <w:r>
        <w:rPr>
          <w:rFonts w:ascii="Times New Roman" w:hAnsi="Times New Roman" w:eastAsia="Times New Roman"/>
          <w:color w:val="000000"/>
        </w:rPr>
        <w:t>2000. évi C. törvény a számvitelről, különösen 150–152/B. §.</w:t>
      </w:r>
    </w:p>
    <w:p>
      <w:pPr>
        <w:pStyle w:val="ListBullet"/>
        <w:spacing w:after="60"/>
      </w:pPr>
      <w:r>
        <w:rPr>
          <w:rFonts w:ascii="Times New Roman" w:hAnsi="Times New Roman" w:eastAsia="Times New Roman"/>
          <w:color w:val="000000"/>
        </w:rPr>
        <w:t>93/2002. (V. 5.) Korm. rendelet a könyvviteli szolgáltatást végzők nyilvántartásba vételéről.</w:t>
      </w:r>
    </w:p>
    <w:p>
      <w:pPr>
        <w:pStyle w:val="ListBullet"/>
        <w:spacing w:after="60"/>
      </w:pPr>
      <w:r>
        <w:rPr>
          <w:rFonts w:ascii="Times New Roman" w:hAnsi="Times New Roman" w:eastAsia="Times New Roman"/>
          <w:color w:val="000000"/>
        </w:rPr>
        <w:t>2017. évi CL. törvény az adózás rendjéről.</w:t>
      </w:r>
    </w:p>
    <w:p>
      <w:pPr>
        <w:pStyle w:val="ListBullet"/>
        <w:spacing w:after="60"/>
      </w:pPr>
      <w:r>
        <w:rPr>
          <w:rFonts w:ascii="Times New Roman" w:hAnsi="Times New Roman" w:eastAsia="Times New Roman"/>
          <w:color w:val="000000"/>
        </w:rPr>
        <w:t>2017. évi CLI. törvény az adóigazgatási rendtartásról.</w:t>
      </w:r>
    </w:p>
    <w:p>
      <w:pPr>
        <w:pStyle w:val="ListBullet"/>
        <w:spacing w:after="60"/>
      </w:pPr>
      <w:r>
        <w:rPr>
          <w:rFonts w:ascii="Times New Roman" w:hAnsi="Times New Roman" w:eastAsia="Times New Roman"/>
          <w:color w:val="000000"/>
        </w:rPr>
        <w:t>2017. évi LIII. törvény a pénzmosás és a terrorizmus finanszírozása megelőzéséről és megakadályozásáról.</w:t>
      </w:r>
    </w:p>
    <w:p>
      <w:pPr>
        <w:pStyle w:val="ListBullet"/>
        <w:spacing w:after="60"/>
      </w:pPr>
      <w:r>
        <w:rPr>
          <w:rFonts w:ascii="Times New Roman" w:hAnsi="Times New Roman" w:eastAsia="Times New Roman"/>
          <w:color w:val="000000"/>
        </w:rPr>
        <w:t>45/2017. (XII. 22.) NGM rendelet az adótanácsadók, adószakértők és okleveles adószakértők nyilvántartásba vételéről és továbbképzéséről, továbbá a kapcsolódó hatályos kormány- és miniszteri rendeletek.</w:t>
      </w:r>
    </w:p>
    <w:p>
      <w:pPr>
        <w:pStyle w:val="ListBullet"/>
        <w:spacing w:after="60"/>
      </w:pPr>
      <w:r>
        <w:rPr>
          <w:rFonts w:ascii="Times New Roman" w:hAnsi="Times New Roman" w:eastAsia="Times New Roman"/>
          <w:color w:val="000000"/>
        </w:rPr>
        <w:t>Az Európai Parlament és a Tanács (EU) 2018/958 irányelve (2018. június 28.) az új szakmai szabályozások elfogadása előtti arányossági vizsgálatról.</w:t>
      </w:r>
    </w:p>
    <w:p>
      <w:pPr>
        <w:pStyle w:val="ListBullet"/>
        <w:spacing w:after="60"/>
      </w:pPr>
      <w:r>
        <w:rPr>
          <w:rFonts w:ascii="Times New Roman" w:hAnsi="Times New Roman" w:eastAsia="Times New Roman"/>
          <w:color w:val="000000"/>
        </w:rPr>
        <w:t>FairConto: A könyvelési piac elemzése, 2026. január 4.</w:t>
      </w:r>
    </w:p>
    <w:p>
      <w:pPr>
        <w:pStyle w:val="ListBullet"/>
        <w:spacing w:after="60"/>
      </w:pPr>
      <w:r>
        <w:rPr>
          <w:rFonts w:ascii="Times New Roman" w:hAnsi="Times New Roman" w:eastAsia="Times New Roman"/>
          <w:color w:val="000000"/>
        </w:rPr>
        <w:t>FairConto: Bírságolási fenyegetéssel súlyosbított adminisztrálásba fojtaná a pénzmosás elleni küzdelmet az EU, 2026. március 1.</w:t>
      </w:r>
    </w:p>
    <w:p>
      <w:pPr>
        <w:pStyle w:val="ListBullet"/>
        <w:spacing w:after="60"/>
      </w:pPr>
      <w:r>
        <w:rPr>
          <w:rFonts w:ascii="Times New Roman" w:hAnsi="Times New Roman" w:eastAsia="Times New Roman"/>
          <w:color w:val="000000"/>
        </w:rPr>
        <w:t>Institute for Tax Advisors and Accountants (Belgium) – szakmai nyilvántartási és jogosultsági tájékoztatók.</w:t>
      </w:r>
    </w:p>
    <w:p>
      <w:pPr>
        <w:pStyle w:val="ListBullet"/>
        <w:spacing w:after="60"/>
      </w:pPr>
      <w:r>
        <w:rPr>
          <w:rFonts w:ascii="Times New Roman" w:hAnsi="Times New Roman" w:eastAsia="Times New Roman"/>
          <w:color w:val="000000"/>
        </w:rPr>
        <w:t>Kammer der Steuerberater:innen und Wirtschaftsprüfer:innen (Ausztria) – szakmai jogosultság, vizsgák és nyilvántartás.</w:t>
      </w:r>
    </w:p>
    <w:p>
      <w:pPr>
        <w:pStyle w:val="ListBullet"/>
        <w:spacing w:after="60"/>
      </w:pPr>
      <w:r>
        <w:rPr>
          <w:rFonts w:ascii="Times New Roman" w:hAnsi="Times New Roman" w:eastAsia="Times New Roman"/>
          <w:color w:val="000000"/>
        </w:rPr>
        <w:t>Ordre des Experts-Comptables (Franciaország) – kamarai jegyzék, szakmai felügyelet és jogosulatlan szolgáltatás elleni fellépés.</w:t>
      </w:r>
    </w:p>
    <w:p>
      <w:pPr>
        <w:pStyle w:val="ListBullet"/>
        <w:spacing w:after="60"/>
      </w:pPr>
      <w:r>
        <w:rPr>
          <w:rFonts w:ascii="Times New Roman" w:hAnsi="Times New Roman" w:eastAsia="Times New Roman"/>
          <w:color w:val="000000"/>
        </w:rPr>
        <w:t>Consiglio Nazionale dei Dottori Commercialisti e degli Esperti Contabili (Olaszország) – országos névjegyzék, gyakorlati képzés, továbbképzés és szakmai rend.</w:t>
      </w:r>
    </w:p>
    <w:p>
      <w:pPr>
        <w:pStyle w:val="Small"/>
        <w:spacing w:after="120"/>
        <w:ind w:firstLine="0"/>
      </w:pPr>
      <w:r>
        <w:rPr>
          <w:rFonts w:ascii="Times New Roman" w:hAnsi="Times New Roman" w:eastAsia="Times New Roman"/>
          <w:b w:val="0"/>
          <w:i w:val="0"/>
          <w:color w:val="000000"/>
        </w:rPr>
        <w:t>Megjegyzés: a dokumentum 2026. augusztusi szakmai munkaváltozat. A benne szereplő határértékek, dátumok és szervezeti részletek hatásvizsgálat és jogalkotói egyeztetés során módosíthatók. A végleges normaszöveget kodifikációs, alkotmányjogi, uniós jogi, adatvédelmi és versenyjogi ellenőrzésnek kell alávetni.</w:t>
      </w:r>
    </w:p>
    <w:sectPr w:rsidR="00FC693F" w:rsidRPr="0006063C" w:rsidSect="00034616">
      <w:footerReference w:type="default" r:id="rId9"/>
      <w:pgSz w:w="12240" w:h="15840"/>
      <w:pgMar w:top="1417" w:right="1361" w:bottom="1417"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sz w:val="18"/>
      </w:rPr>
      <w:t xml:space="preserve">MAX Kamara – alapbeadvány és normaszöveg-tervezet | </w:t>
    </w:r>
    <w:r>
      <w:rPr>
        <w:rFonts w:ascii="Times New Roman" w:hAnsi="Times New Roman" w:eastAsia="Times New Roman"/>
      </w:rP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Times New Roman" w:hAnsi="Times New Roman" w:eastAsia="Times New Roman"/>
      <w:color w:val="00000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Times New Roman" w:hAnsi="Times New Roman"/>
      <w:color w:val="000000"/>
    </w:rPr>
  </w:style>
  <w:style w:type="character" w:customStyle="1" w:styleId="HeaderChar">
    <w:name w:val="Header Char"/>
    <w:basedOn w:val="DefaultParagraphFont"/>
    <w:link w:val="Header"/>
    <w:uiPriority w:val="99"/>
    <w:rsid w:val="00E618BF"/>
    <w:rPr>
      <w:rFonts w:ascii="Times New Roman" w:hAnsi="Times New Roman"/>
      <w:color w:val="000000"/>
    </w:rPr>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Times New Roman" w:hAnsi="Times New Roman"/>
      <w:color w:val="000000"/>
    </w:rPr>
  </w:style>
  <w:style w:type="character" w:customStyle="1" w:styleId="FooterChar">
    <w:name w:val="Footer Char"/>
    <w:basedOn w:val="DefaultParagraphFont"/>
    <w:link w:val="Footer"/>
    <w:uiPriority w:val="99"/>
    <w:rsid w:val="00E618BF"/>
    <w:rPr>
      <w:rFonts w:ascii="Times New Roman" w:hAnsi="Times New Roman"/>
      <w:color w:val="000000"/>
    </w:rPr>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Times New Roman" w:hAnsi="Times New Roman" w:eastAsia="Times New Roman"/>
      <w:b/>
      <w:bCs/>
      <w:color w:val="000000"/>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eastAsia="Times New Roman"/>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Times New Roman" w:hAnsi="Times New Roman" w:eastAsia="Times New Roman"/>
      <w:b/>
      <w:bCs/>
      <w:color w:val="000000"/>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Times New Roman" w:hAnsi="Times New Roman" w:eastAsia="Times New Roman"/>
      <w:b/>
      <w:bCs/>
      <w:i/>
      <w:iCs/>
      <w:color w:val="000000"/>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ascii="Times New Roman" w:hAnsi="Times New Roman"/>
      <w:color w:val="000000"/>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ascii="Times New Roman" w:hAnsi="Times New Roman"/>
      <w:i/>
      <w:iCs/>
      <w:color w:val="000000"/>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ascii="Times New Roman" w:hAnsi="Times New Roman"/>
      <w:i/>
      <w:iCs/>
      <w:color w:val="000000"/>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ascii="Times New Roman" w:hAnsi="Times New Roman"/>
      <w:color w:val="000000"/>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ascii="Times New Roman" w:hAnsi="Times New Roman"/>
      <w:i/>
      <w:iCs/>
      <w:color w:val="000000"/>
      <w:sz w:val="20"/>
      <w:szCs w:val="20"/>
    </w:rPr>
  </w:style>
  <w:style w:type="character" w:default="1" w:styleId="DefaultParagraphFont">
    <w:name w:val="Default Paragraph Font"/>
    <w:uiPriority w:val="1"/>
    <w:semiHidden/>
    <w:unhideWhenUsed/>
    <w:rPr>
      <w:rFonts w:ascii="Times New Roman" w:hAnsi="Times New Roman"/>
      <w:color w:val="000000"/>
    </w:rPr>
  </w:style>
  <w:style w:type="table" w:default="1" w:styleId="TableNormal">
    <w:name w:val="Normal Table"/>
    <w:uiPriority w:val="99"/>
    <w:semiHidden/>
    <w:unhideWhenUsed/>
    <w:rPr>
      <w:rFonts w:ascii="Times New Roman" w:hAnsi="Times New Roman"/>
      <w:color w:val="000000"/>
    </w:rPr>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rPr>
      <w:rFonts w:ascii="Times New Roman" w:hAnsi="Times New Roman"/>
      <w:color w:val="000000"/>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ascii="Times New Roman" w:hAnsi="Times New Roman"/>
      <w:b/>
      <w:bCs/>
      <w:color w:val="000000"/>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ascii="Times New Roman" w:hAnsi="Times New Roman"/>
      <w:b/>
      <w:bCs/>
      <w:color w:val="000000"/>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ascii="Times New Roman" w:hAnsi="Times New Roman"/>
      <w:b/>
      <w:bCs/>
      <w:color w:val="000000"/>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eastAsia="Times New Roman"/>
      <w:b/>
      <w:color w:val="000000"/>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ascii="Times New Roman" w:hAnsi="Times New Roman"/>
      <w:color w:val="000000"/>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Times New Roman" w:hAnsi="Times New Roman" w:eastAsia="Times New Roman"/>
      <w:i/>
      <w:iCs/>
      <w:color w:val="000000"/>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ascii="Times New Roman" w:hAnsi="Times New Roman"/>
      <w:i/>
      <w:iCs/>
      <w:color w:val="000000"/>
      <w:spacing w:val="15"/>
      <w:sz w:val="24"/>
      <w:szCs w:val="24"/>
    </w:rPr>
  </w:style>
  <w:style w:type="paragraph" w:styleId="ListParagraph">
    <w:name w:val="List Paragraph"/>
    <w:basedOn w:val="Normal"/>
    <w:uiPriority w:val="34"/>
    <w:qFormat/>
    <w:rsid w:val="00FC693F"/>
    <w:pPr>
      <w:ind w:left="720"/>
      <w:contextualSpacing/>
    </w:pPr>
    <w:rPr>
      <w:rFonts w:ascii="Times New Roman" w:hAnsi="Times New Roman"/>
      <w:color w:val="000000"/>
    </w:rPr>
  </w:style>
  <w:style w:type="paragraph" w:styleId="BodyText">
    <w:name w:val="Body Text"/>
    <w:basedOn w:val="Normal"/>
    <w:link w:val="BodyTextChar"/>
    <w:uiPriority w:val="99"/>
    <w:unhideWhenUsed/>
    <w:rsid w:val="00AA1D8D"/>
    <w:pPr>
      <w:spacing w:after="120"/>
    </w:pPr>
    <w:rPr>
      <w:rFonts w:ascii="Times New Roman" w:hAnsi="Times New Roman"/>
      <w:color w:val="000000"/>
    </w:rPr>
  </w:style>
  <w:style w:type="character" w:customStyle="1" w:styleId="BodyTextChar">
    <w:name w:val="Body Text Char"/>
    <w:basedOn w:val="DefaultParagraphFont"/>
    <w:link w:val="BodyText"/>
    <w:uiPriority w:val="99"/>
    <w:rsid w:val="00AA1D8D"/>
    <w:rPr>
      <w:rFonts w:ascii="Times New Roman" w:hAnsi="Times New Roman"/>
      <w:color w:val="000000"/>
    </w:rPr>
  </w:style>
  <w:style w:type="paragraph" w:styleId="BodyText2">
    <w:name w:val="Body Text 2"/>
    <w:basedOn w:val="Normal"/>
    <w:link w:val="BodyText2Char"/>
    <w:uiPriority w:val="99"/>
    <w:unhideWhenUsed/>
    <w:rsid w:val="00AA1D8D"/>
    <w:pPr>
      <w:spacing w:after="120" w:line="480" w:lineRule="auto"/>
    </w:pPr>
    <w:rPr>
      <w:rFonts w:ascii="Times New Roman" w:hAnsi="Times New Roman"/>
      <w:color w:val="000000"/>
    </w:rPr>
  </w:style>
  <w:style w:type="character" w:customStyle="1" w:styleId="BodyText2Char">
    <w:name w:val="Body Text 2 Char"/>
    <w:basedOn w:val="DefaultParagraphFont"/>
    <w:link w:val="BodyText2"/>
    <w:uiPriority w:val="99"/>
    <w:rsid w:val="00AA1D8D"/>
    <w:rPr>
      <w:rFonts w:ascii="Times New Roman" w:hAnsi="Times New Roman"/>
      <w:color w:val="000000"/>
    </w:rPr>
  </w:style>
  <w:style w:type="paragraph" w:styleId="BodyText3">
    <w:name w:val="Body Text 3"/>
    <w:basedOn w:val="Normal"/>
    <w:link w:val="BodyText3Char"/>
    <w:uiPriority w:val="99"/>
    <w:unhideWhenUsed/>
    <w:rsid w:val="00AA1D8D"/>
    <w:pPr>
      <w:spacing w:after="120"/>
    </w:pPr>
    <w:rPr>
      <w:rFonts w:ascii="Times New Roman" w:hAnsi="Times New Roman"/>
      <w:color w:val="000000"/>
      <w:sz w:val="16"/>
      <w:szCs w:val="16"/>
    </w:rPr>
  </w:style>
  <w:style w:type="character" w:customStyle="1" w:styleId="BodyText3Char">
    <w:name w:val="Body Text 3 Char"/>
    <w:basedOn w:val="DefaultParagraphFont"/>
    <w:link w:val="BodyText3"/>
    <w:uiPriority w:val="99"/>
    <w:rsid w:val="00AA1D8D"/>
    <w:rPr>
      <w:rFonts w:ascii="Times New Roman" w:hAnsi="Times New Roman"/>
      <w:color w:val="000000"/>
      <w:sz w:val="16"/>
      <w:szCs w:val="16"/>
    </w:rPr>
  </w:style>
  <w:style w:type="paragraph" w:styleId="List">
    <w:name w:val="List"/>
    <w:basedOn w:val="Normal"/>
    <w:uiPriority w:val="99"/>
    <w:unhideWhenUsed/>
    <w:rsid w:val="00AA1D8D"/>
    <w:pPr>
      <w:ind w:left="360" w:hanging="360"/>
      <w:contextualSpacing/>
    </w:pPr>
    <w:rPr>
      <w:rFonts w:ascii="Times New Roman" w:hAnsi="Times New Roman"/>
      <w:color w:val="000000"/>
    </w:rPr>
  </w:style>
  <w:style w:type="paragraph" w:styleId="List2">
    <w:name w:val="List 2"/>
    <w:basedOn w:val="Normal"/>
    <w:uiPriority w:val="99"/>
    <w:unhideWhenUsed/>
    <w:rsid w:val="00326F90"/>
    <w:pPr>
      <w:ind w:left="720" w:hanging="360"/>
      <w:contextualSpacing/>
    </w:pPr>
    <w:rPr>
      <w:rFonts w:ascii="Times New Roman" w:hAnsi="Times New Roman"/>
      <w:color w:val="000000"/>
    </w:rPr>
  </w:style>
  <w:style w:type="paragraph" w:styleId="List3">
    <w:name w:val="List 3"/>
    <w:basedOn w:val="Normal"/>
    <w:uiPriority w:val="99"/>
    <w:unhideWhenUsed/>
    <w:rsid w:val="00326F90"/>
    <w:pPr>
      <w:ind w:left="1080" w:hanging="360"/>
      <w:contextualSpacing/>
    </w:pPr>
    <w:rPr>
      <w:rFonts w:ascii="Times New Roman" w:hAnsi="Times New Roman"/>
      <w:color w:val="000000"/>
    </w:rPr>
  </w:style>
  <w:style w:type="paragraph" w:styleId="ListBullet">
    <w:name w:val="List Bullet"/>
    <w:basedOn w:val="Normal"/>
    <w:uiPriority w:val="99"/>
    <w:unhideWhenUsed/>
    <w:rsid w:val="00326F90"/>
    <w:pPr>
      <w:numPr>
        <w:numId w:val="1"/>
      </w:numPr>
      <w:contextualSpacing/>
    </w:pPr>
    <w:rPr>
      <w:rFonts w:ascii="Times New Roman" w:hAnsi="Times New Roman"/>
      <w:color w:val="000000"/>
    </w:rPr>
  </w:style>
  <w:style w:type="paragraph" w:styleId="ListBullet2">
    <w:name w:val="List Bullet 2"/>
    <w:basedOn w:val="Normal"/>
    <w:uiPriority w:val="99"/>
    <w:unhideWhenUsed/>
    <w:rsid w:val="00326F90"/>
    <w:pPr>
      <w:numPr>
        <w:numId w:val="2"/>
      </w:numPr>
      <w:contextualSpacing/>
    </w:pPr>
    <w:rPr>
      <w:rFonts w:ascii="Times New Roman" w:hAnsi="Times New Roman"/>
      <w:color w:val="000000"/>
    </w:rPr>
  </w:style>
  <w:style w:type="paragraph" w:styleId="ListBullet3">
    <w:name w:val="List Bullet 3"/>
    <w:basedOn w:val="Normal"/>
    <w:uiPriority w:val="99"/>
    <w:unhideWhenUsed/>
    <w:rsid w:val="00326F90"/>
    <w:pPr>
      <w:numPr>
        <w:numId w:val="3"/>
      </w:numPr>
      <w:contextualSpacing/>
    </w:pPr>
    <w:rPr>
      <w:rFonts w:ascii="Times New Roman" w:hAnsi="Times New Roman"/>
      <w:color w:val="000000"/>
    </w:rPr>
  </w:style>
  <w:style w:type="paragraph" w:styleId="ListNumber">
    <w:name w:val="List Number"/>
    <w:basedOn w:val="Normal"/>
    <w:uiPriority w:val="99"/>
    <w:unhideWhenUsed/>
    <w:rsid w:val="00326F90"/>
    <w:pPr>
      <w:numPr>
        <w:numId w:val="5"/>
      </w:numPr>
      <w:contextualSpacing/>
    </w:pPr>
    <w:rPr>
      <w:rFonts w:ascii="Times New Roman" w:hAnsi="Times New Roman"/>
      <w:color w:val="000000"/>
    </w:rPr>
  </w:style>
  <w:style w:type="paragraph" w:styleId="ListNumber2">
    <w:name w:val="List Number 2"/>
    <w:basedOn w:val="Normal"/>
    <w:uiPriority w:val="99"/>
    <w:unhideWhenUsed/>
    <w:rsid w:val="0029639D"/>
    <w:pPr>
      <w:numPr>
        <w:numId w:val="6"/>
      </w:numPr>
      <w:contextualSpacing/>
    </w:pPr>
    <w:rPr>
      <w:rFonts w:ascii="Times New Roman" w:hAnsi="Times New Roman"/>
      <w:color w:val="000000"/>
    </w:rPr>
  </w:style>
  <w:style w:type="paragraph" w:styleId="ListNumber3">
    <w:name w:val="List Number 3"/>
    <w:basedOn w:val="Normal"/>
    <w:uiPriority w:val="99"/>
    <w:unhideWhenUsed/>
    <w:rsid w:val="0029639D"/>
    <w:pPr>
      <w:numPr>
        <w:numId w:val="7"/>
      </w:numPr>
      <w:contextualSpacing/>
    </w:pPr>
    <w:rPr>
      <w:rFonts w:ascii="Times New Roman" w:hAnsi="Times New Roman"/>
      <w:color w:val="000000"/>
    </w:rPr>
  </w:style>
  <w:style w:type="paragraph" w:styleId="ListContinue">
    <w:name w:val="List Continue"/>
    <w:basedOn w:val="Normal"/>
    <w:uiPriority w:val="99"/>
    <w:unhideWhenUsed/>
    <w:rsid w:val="0029639D"/>
    <w:pPr>
      <w:spacing w:after="120"/>
      <w:ind w:left="360"/>
      <w:contextualSpacing/>
    </w:pPr>
    <w:rPr>
      <w:rFonts w:ascii="Times New Roman" w:hAnsi="Times New Roman"/>
      <w:color w:val="000000"/>
    </w:rPr>
  </w:style>
  <w:style w:type="paragraph" w:styleId="ListContinue2">
    <w:name w:val="List Continue 2"/>
    <w:basedOn w:val="Normal"/>
    <w:uiPriority w:val="99"/>
    <w:unhideWhenUsed/>
    <w:rsid w:val="0029639D"/>
    <w:pPr>
      <w:spacing w:after="120"/>
      <w:ind w:left="720"/>
      <w:contextualSpacing/>
    </w:pPr>
    <w:rPr>
      <w:rFonts w:ascii="Times New Roman" w:hAnsi="Times New Roman"/>
      <w:color w:val="000000"/>
    </w:rPr>
  </w:style>
  <w:style w:type="paragraph" w:styleId="ListContinue3">
    <w:name w:val="List Continue 3"/>
    <w:basedOn w:val="Normal"/>
    <w:uiPriority w:val="99"/>
    <w:unhideWhenUsed/>
    <w:rsid w:val="0029639D"/>
    <w:pPr>
      <w:spacing w:after="120"/>
      <w:ind w:left="1080"/>
      <w:contextualSpacing/>
    </w:pPr>
    <w:rPr>
      <w:rFonts w:ascii="Times New Roman" w:hAnsi="Times New Roman"/>
      <w:color w:val="000000"/>
    </w:r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Times New Roman" w:hAnsi="Times New Roman"/>
      <w:color w:val="000000"/>
      <w:sz w:val="20"/>
      <w:szCs w:val="20"/>
    </w:rPr>
  </w:style>
  <w:style w:type="character" w:customStyle="1" w:styleId="MacroTextChar">
    <w:name w:val="Macro Text Char"/>
    <w:basedOn w:val="DefaultParagraphFont"/>
    <w:link w:val="MacroText"/>
    <w:uiPriority w:val="99"/>
    <w:rsid w:val="0029639D"/>
    <w:rPr>
      <w:rFonts w:ascii="Times New Roman" w:hAnsi="Times New Roman"/>
      <w:color w:val="000000"/>
      <w:sz w:val="20"/>
      <w:szCs w:val="20"/>
    </w:rPr>
  </w:style>
  <w:style w:type="paragraph" w:styleId="Quote">
    <w:name w:val="Quote"/>
    <w:basedOn w:val="Normal"/>
    <w:next w:val="Normal"/>
    <w:link w:val="QuoteChar"/>
    <w:uiPriority w:val="29"/>
    <w:qFormat/>
    <w:rsid w:val="00FC693F"/>
    <w:pPr>
      <w:spacing w:after="80" w:line="252" w:lineRule="auto"/>
    </w:pPr>
    <w:rPr>
      <w:rFonts w:ascii="Times New Roman" w:hAnsi="Times New Roman" w:eastAsia="Times New Roman"/>
      <w:b w:val="0"/>
      <w:i/>
      <w:iCs/>
      <w:color w:val="000000"/>
      <w:sz w:val="22"/>
    </w:rPr>
  </w:style>
  <w:style w:type="character" w:customStyle="1" w:styleId="QuoteChar">
    <w:name w:val="Quote Char"/>
    <w:basedOn w:val="DefaultParagraphFont"/>
    <w:link w:val="Quote"/>
    <w:uiPriority w:val="29"/>
    <w:rsid w:val="00FC693F"/>
    <w:rPr>
      <w:rFonts w:ascii="Times New Roman" w:hAnsi="Times New Roman"/>
      <w:i/>
      <w:iCs/>
      <w:color w:val="000000"/>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ascii="Times New Roman" w:hAnsi="Times New Roman"/>
      <w:b/>
      <w:bCs/>
      <w:i/>
      <w:iCs/>
      <w:color w:val="000000"/>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ascii="Times New Roman" w:hAnsi="Times New Roman"/>
      <w:color w:val="000000"/>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ascii="Times New Roman" w:hAnsi="Times New Roman"/>
      <w:i/>
      <w:iCs/>
      <w:color w:val="000000"/>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ascii="Times New Roman" w:hAnsi="Times New Roman"/>
      <w:i/>
      <w:iCs/>
      <w:color w:val="000000"/>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ascii="Times New Roman" w:hAnsi="Times New Roman"/>
      <w:color w:val="000000"/>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ascii="Times New Roman" w:hAnsi="Times New Roman"/>
      <w:i/>
      <w:iCs/>
      <w:color w:val="000000"/>
      <w:sz w:val="20"/>
      <w:szCs w:val="20"/>
    </w:rPr>
  </w:style>
  <w:style w:type="paragraph" w:styleId="Caption">
    <w:name w:val="caption"/>
    <w:basedOn w:val="Normal"/>
    <w:next w:val="Normal"/>
    <w:uiPriority w:val="35"/>
    <w:semiHidden/>
    <w:unhideWhenUsed/>
    <w:qFormat/>
    <w:rsid w:val="00FC693F"/>
    <w:pPr>
      <w:spacing w:line="240" w:lineRule="auto"/>
    </w:pPr>
    <w:rPr>
      <w:rFonts w:ascii="Times New Roman" w:hAnsi="Times New Roman"/>
      <w:b/>
      <w:bCs/>
      <w:color w:val="000000"/>
      <w:sz w:val="18"/>
      <w:szCs w:val="18"/>
    </w:rPr>
  </w:style>
  <w:style w:type="character" w:styleId="Strong">
    <w:name w:val="Strong"/>
    <w:basedOn w:val="DefaultParagraphFont"/>
    <w:uiPriority w:val="22"/>
    <w:qFormat/>
    <w:rsid w:val="00FC693F"/>
    <w:rPr>
      <w:rFonts w:ascii="Times New Roman" w:hAnsi="Times New Roman"/>
      <w:b/>
      <w:bCs/>
      <w:color w:val="000000"/>
    </w:rPr>
  </w:style>
  <w:style w:type="character" w:styleId="Emphasis">
    <w:name w:val="Emphasis"/>
    <w:basedOn w:val="DefaultParagraphFont"/>
    <w:uiPriority w:val="20"/>
    <w:qFormat/>
    <w:rsid w:val="00FC693F"/>
    <w:rPr>
      <w:rFonts w:ascii="Times New Roman" w:hAnsi="Times New Roman"/>
      <w:i/>
      <w:iCs/>
      <w:color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rFonts w:ascii="Times New Roman" w:hAnsi="Times New Roman"/>
      <w:b/>
      <w:bCs/>
      <w:i/>
      <w:iCs/>
      <w:color w:val="000000"/>
    </w:rPr>
  </w:style>
  <w:style w:type="character" w:customStyle="1" w:styleId="IntenseQuoteChar">
    <w:name w:val="Intense Quote Char"/>
    <w:basedOn w:val="DefaultParagraphFont"/>
    <w:link w:val="IntenseQuote"/>
    <w:uiPriority w:val="30"/>
    <w:rsid w:val="00FC693F"/>
    <w:rPr>
      <w:rFonts w:ascii="Times New Roman" w:hAnsi="Times New Roman"/>
      <w:b/>
      <w:bCs/>
      <w:i/>
      <w:iCs/>
      <w:color w:val="000000"/>
    </w:rPr>
  </w:style>
  <w:style w:type="character" w:styleId="SubtleEmphasis">
    <w:name w:val="Subtle Emphasis"/>
    <w:basedOn w:val="DefaultParagraphFont"/>
    <w:uiPriority w:val="19"/>
    <w:qFormat/>
    <w:rsid w:val="00FC693F"/>
    <w:rPr>
      <w:rFonts w:ascii="Times New Roman" w:hAnsi="Times New Roman"/>
      <w:i/>
      <w:iCs/>
      <w:color w:val="000000"/>
    </w:rPr>
  </w:style>
  <w:style w:type="character" w:styleId="IntenseEmphasis">
    <w:name w:val="Intense Emphasis"/>
    <w:basedOn w:val="DefaultParagraphFont"/>
    <w:uiPriority w:val="21"/>
    <w:qFormat/>
    <w:rsid w:val="00FC693F"/>
    <w:rPr>
      <w:rFonts w:ascii="Times New Roman" w:hAnsi="Times New Roman"/>
      <w:b/>
      <w:bCs/>
      <w:i/>
      <w:iCs/>
      <w:color w:val="000000"/>
    </w:rPr>
  </w:style>
  <w:style w:type="character" w:styleId="SubtleReference">
    <w:name w:val="Subtle Reference"/>
    <w:basedOn w:val="DefaultParagraphFont"/>
    <w:uiPriority w:val="31"/>
    <w:qFormat/>
    <w:rsid w:val="00FC693F"/>
    <w:rPr>
      <w:rFonts w:ascii="Times New Roman" w:hAnsi="Times New Roman"/>
      <w:smallCaps/>
      <w:color w:val="000000"/>
      <w:u w:val="single"/>
    </w:rPr>
  </w:style>
  <w:style w:type="character" w:styleId="IntenseReference">
    <w:name w:val="Intense Reference"/>
    <w:basedOn w:val="DefaultParagraphFont"/>
    <w:uiPriority w:val="32"/>
    <w:qFormat/>
    <w:rsid w:val="00FC693F"/>
    <w:rPr>
      <w:rFonts w:ascii="Times New Roman" w:hAnsi="Times New Roman"/>
      <w:b/>
      <w:bCs/>
      <w:smallCaps/>
      <w:color w:val="000000"/>
      <w:spacing w:val="5"/>
      <w:u w:val="single"/>
    </w:rPr>
  </w:style>
  <w:style w:type="character" w:styleId="BookTitle">
    <w:name w:val="Book Title"/>
    <w:basedOn w:val="DefaultParagraphFont"/>
    <w:uiPriority w:val="33"/>
    <w:qFormat/>
    <w:rsid w:val="00FC693F"/>
    <w:rPr>
      <w:rFonts w:ascii="Times New Roman" w:hAnsi="Times New Roman"/>
      <w:b/>
      <w:bCs/>
      <w:smallCaps/>
      <w:color w:val="000000"/>
      <w:spacing w:val="5"/>
    </w:rPr>
  </w:style>
  <w:style w:type="paragraph" w:styleId="TOCHeading">
    <w:name w:val="TOC Heading"/>
    <w:basedOn w:val="Heading1"/>
    <w:next w:val="Normal"/>
    <w:uiPriority w:val="39"/>
    <w:semiHidden/>
    <w:unhideWhenUsed/>
    <w:qFormat/>
    <w:rsid w:val="00FC693F"/>
    <w:pPr>
      <w:outlineLvl w:val="9"/>
    </w:pPr>
    <w:rPr>
      <w:rFonts w:ascii="Times New Roman" w:hAnsi="Times New Roman"/>
      <w:color w:val="000000"/>
    </w:rPr>
  </w:style>
  <w:style w:type="table" w:styleId="TableGrid">
    <w:name w:val="Table Grid"/>
    <w:basedOn w:val="TableNormal"/>
    <w:uiPriority w:val="59"/>
    <w:rsid w:val="00FC693F"/>
    <w:pPr>
      <w:spacing w:after="0" w:line="240" w:lineRule="auto"/>
    </w:pPr>
    <w:rPr>
      <w:rFonts w:ascii="Times New Roman" w:hAnsi="Times New Roman"/>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rFonts w:ascii="Times New Roman" w:hAnsi="Times New Roman"/>
      <w:color w:val="00000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rFonts w:ascii="Times New Roman" w:hAnsi="Times New Roman"/>
      <w:color w:val="00000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rFonts w:ascii="Times New Roman" w:hAnsi="Times New Roman"/>
      <w:color w:val="00000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rFonts w:ascii="Times New Roman" w:hAnsi="Times New Roman"/>
      <w:color w:val="00000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rFonts w:ascii="Times New Roman" w:hAnsi="Times New Roman"/>
      <w:color w:val="00000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rFonts w:ascii="Times New Roman" w:hAnsi="Times New Roman"/>
      <w:color w:val="00000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rFonts w:ascii="Times New Roman" w:hAnsi="Times New Roman"/>
      <w:color w:val="00000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rPr>
      <w:rFonts w:ascii="Times New Roman" w:hAnsi="Times New Roman"/>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rPr>
      <w:rFonts w:ascii="Times New Roman" w:hAnsi="Times New Roman"/>
      <w:color w:val="00000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rPr>
      <w:rFonts w:ascii="Times New Roman" w:hAnsi="Times New Roman"/>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rPr>
      <w:rFonts w:ascii="Times New Roman" w:hAnsi="Times New Roman"/>
      <w:color w:val="00000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rPr>
      <w:rFonts w:ascii="Times New Roman" w:hAnsi="Times New Roman"/>
      <w:color w:val="00000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rPr>
      <w:rFonts w:ascii="Times New Roman" w:hAnsi="Times New Roman"/>
      <w:color w:val="00000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rPr>
      <w:rFonts w:ascii="Times New Roman" w:hAnsi="Times New Roman"/>
      <w:color w:val="00000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rPr>
      <w:rFonts w:ascii="Times New Roman" w:hAnsi="Times New Roman"/>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rPr>
      <w:rFonts w:ascii="Times New Roman" w:hAnsi="Times New Roman"/>
      <w:color w:val="00000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rPr>
      <w:rFonts w:ascii="Times New Roman" w:hAnsi="Times New Roman"/>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rPr>
      <w:rFonts w:ascii="Times New Roman" w:hAnsi="Times New Roman"/>
      <w:color w:val="00000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rPr>
      <w:rFonts w:ascii="Times New Roman" w:hAnsi="Times New Roman"/>
      <w:color w:val="00000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rPr>
      <w:rFonts w:ascii="Times New Roman" w:hAnsi="Times New Roman"/>
      <w:color w:val="00000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rPr>
      <w:rFonts w:ascii="Times New Roman" w:hAnsi="Times New Roman"/>
      <w:color w:val="00000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rPr>
      <w:rFonts w:ascii="Times New Roman" w:hAnsi="Times New Roman"/>
      <w:color w:val="000000"/>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rPr>
      <w:rFonts w:ascii="Times New Roman" w:hAnsi="Times New Roman"/>
      <w:color w:val="000000"/>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rPr>
      <w:rFonts w:ascii="Times New Roman" w:hAnsi="Times New Roman"/>
      <w:color w:val="000000"/>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rPr>
      <w:rFonts w:ascii="Times New Roman" w:hAnsi="Times New Roman"/>
      <w:color w:val="000000"/>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rPr>
      <w:rFonts w:ascii="Times New Roman" w:hAnsi="Times New Roman"/>
      <w:color w:val="000000"/>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rPr>
      <w:rFonts w:ascii="Times New Roman" w:hAnsi="Times New Roman"/>
      <w:color w:val="000000"/>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rPr>
      <w:rFonts w:ascii="Times New Roman" w:hAnsi="Times New Roman"/>
      <w:color w:val="000000"/>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rPr>
      <w:rFonts w:ascii="Times New Roman" w:hAnsi="Times New Roman"/>
      <w:color w:val="00000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rPr>
      <w:rFonts w:ascii="Times New Roman" w:hAnsi="Times New Roman"/>
      <w:color w:val="00000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rPr>
      <w:rFonts w:ascii="Times New Roman" w:hAnsi="Times New Roman"/>
      <w:color w:val="00000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rPr>
      <w:rFonts w:ascii="Times New Roman" w:hAnsi="Times New Roman"/>
      <w:color w:val="00000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rPr>
      <w:rFonts w:ascii="Times New Roman" w:hAnsi="Times New Roman"/>
      <w:color w:val="00000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rPr>
      <w:rFonts w:ascii="Times New Roman" w:hAnsi="Times New Roman"/>
      <w:color w:val="00000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rPr>
      <w:rFonts w:ascii="Times New Roman" w:hAnsi="Times New Roman"/>
      <w:color w:val="00000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rFonts w:ascii="Times New Roman" w:hAnsi="Times New Roman"/>
      <w:color w:val="00000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rFonts w:ascii="Times New Roman" w:hAnsi="Times New Roman"/>
      <w:color w:val="00000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rFonts w:ascii="Times New Roman" w:hAnsi="Times New Roman"/>
      <w:color w:val="00000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rFonts w:ascii="Times New Roman" w:hAnsi="Times New Roman"/>
      <w:color w:val="00000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rFonts w:ascii="Times New Roman" w:hAnsi="Times New Roman"/>
      <w:color w:val="00000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rFonts w:ascii="Times New Roman" w:hAnsi="Times New Roman"/>
      <w:color w:val="00000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rFonts w:ascii="Times New Roman" w:hAnsi="Times New Roman"/>
      <w:color w:val="00000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ascii="Times New Roman" w:hAnsi="Times New Roman"/>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ascii="Times New Roman" w:hAnsi="Times New Roman"/>
      <w:color w:val="00000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ascii="Times New Roman" w:hAnsi="Times New Roman"/>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ascii="Times New Roman" w:hAnsi="Times New Roman"/>
      <w:color w:val="00000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ascii="Times New Roman" w:hAnsi="Times New Roman"/>
      <w:color w:val="00000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ascii="Times New Roman" w:hAnsi="Times New Roman"/>
      <w:color w:val="00000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ascii="Times New Roman" w:hAnsi="Times New Roman"/>
      <w:color w:val="00000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rPr>
      <w:rFonts w:ascii="Times New Roman" w:hAnsi="Times New Roman"/>
      <w:color w:val="000000"/>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rPr>
      <w:rFonts w:ascii="Times New Roman" w:hAnsi="Times New Roman"/>
      <w:color w:val="000000"/>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rPr>
      <w:rFonts w:ascii="Times New Roman" w:hAnsi="Times New Roman"/>
      <w:color w:val="000000"/>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rPr>
      <w:rFonts w:ascii="Times New Roman" w:hAnsi="Times New Roman"/>
      <w:color w:val="000000"/>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rPr>
      <w:rFonts w:ascii="Times New Roman" w:hAnsi="Times New Roman"/>
      <w:color w:val="000000"/>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rPr>
      <w:rFonts w:ascii="Times New Roman" w:hAnsi="Times New Roman"/>
      <w:color w:val="000000"/>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rPr>
      <w:rFonts w:ascii="Times New Roman" w:hAnsi="Times New Roman"/>
      <w:color w:val="000000"/>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ascii="Times New Roman" w:hAnsi="Times New Roman"/>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ascii="Times New Roman" w:hAnsi="Times New Roman"/>
      <w:color w:val="00000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ascii="Times New Roman" w:hAnsi="Times New Roman"/>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ascii="Times New Roman" w:hAnsi="Times New Roman"/>
      <w:color w:val="00000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ascii="Times New Roman" w:hAnsi="Times New Roman"/>
      <w:color w:val="00000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ascii="Times New Roman" w:hAnsi="Times New Roman"/>
      <w:color w:val="00000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ascii="Times New Roman" w:hAnsi="Times New Roman"/>
      <w:color w:val="00000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rPr>
      <w:rFonts w:ascii="Times New Roman" w:hAnsi="Times New Roman"/>
      <w:color w:val="00000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rPr>
      <w:rFonts w:ascii="Times New Roman" w:hAnsi="Times New Roman"/>
      <w:color w:val="00000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rPr>
      <w:rFonts w:ascii="Times New Roman" w:hAnsi="Times New Roman"/>
      <w:color w:val="00000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rPr>
      <w:rFonts w:ascii="Times New Roman" w:hAnsi="Times New Roman"/>
      <w:color w:val="00000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rPr>
      <w:rFonts w:ascii="Times New Roman" w:hAnsi="Times New Roman"/>
      <w:color w:val="00000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rPr>
      <w:rFonts w:ascii="Times New Roman" w:hAnsi="Times New Roman"/>
      <w:color w:val="00000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rPr>
      <w:rFonts w:ascii="Times New Roman" w:hAnsi="Times New Roman"/>
      <w:color w:val="00000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rFonts w:ascii="Times New Roman" w:hAnsi="Times New Roman"/>
      <w:color w:val="00000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rFonts w:ascii="Times New Roman" w:hAnsi="Times New Roman"/>
      <w:color w:val="00000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rFonts w:ascii="Times New Roman" w:hAnsi="Times New Roman"/>
      <w:color w:val="00000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rFonts w:ascii="Times New Roman" w:hAnsi="Times New Roman"/>
      <w:color w:val="00000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rFonts w:ascii="Times New Roman" w:hAnsi="Times New Roman"/>
      <w:color w:val="00000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rFonts w:ascii="Times New Roman" w:hAnsi="Times New Roman"/>
      <w:color w:val="00000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rFonts w:ascii="Times New Roman" w:hAnsi="Times New Roman"/>
      <w:color w:val="00000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rFonts w:ascii="Times New Roman" w:hAnsi="Times New Roman"/>
      <w:color w:val="00000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rFonts w:ascii="Times New Roman" w:hAnsi="Times New Roman"/>
      <w:color w:val="00000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rFonts w:ascii="Times New Roman" w:hAnsi="Times New Roman"/>
      <w:color w:val="00000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rFonts w:ascii="Times New Roman" w:hAnsi="Times New Roman"/>
      <w:color w:val="00000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rFonts w:ascii="Times New Roman" w:hAnsi="Times New Roman"/>
      <w:color w:val="00000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rFonts w:ascii="Times New Roman" w:hAnsi="Times New Roman"/>
      <w:color w:val="00000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rFonts w:ascii="Times New Roman" w:hAnsi="Times New Roman"/>
      <w:color w:val="00000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rFonts w:ascii="Times New Roman" w:hAnsi="Times New Roman"/>
      <w:color w:val="00000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rFonts w:ascii="Times New Roman" w:hAnsi="Times New Roman"/>
      <w:color w:val="00000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rFonts w:ascii="Times New Roman" w:hAnsi="Times New Roman"/>
      <w:color w:val="00000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rFonts w:ascii="Times New Roman" w:hAnsi="Times New Roman"/>
      <w:color w:val="00000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rFonts w:ascii="Times New Roman" w:hAnsi="Times New Roman"/>
      <w:color w:val="00000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rFonts w:ascii="Times New Roman" w:hAnsi="Times New Roman"/>
      <w:color w:val="00000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rFonts w:ascii="Times New Roman" w:hAnsi="Times New Roman"/>
      <w:color w:val="00000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rFonts w:ascii="Times New Roman" w:hAnsi="Times New Roman"/>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rFonts w:ascii="Times New Roman" w:hAnsi="Times New Roman"/>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rFonts w:ascii="Times New Roman" w:hAnsi="Times New Roman"/>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rFonts w:ascii="Times New Roman" w:hAnsi="Times New Roman"/>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rFonts w:ascii="Times New Roman" w:hAnsi="Times New Roman"/>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rFonts w:ascii="Times New Roman" w:hAnsi="Times New Roman"/>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rFonts w:ascii="Times New Roman" w:hAnsi="Times New Roman"/>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
    <w:name w:val="Legal"/>
    <w:pPr>
      <w:spacing w:after="80" w:line="252" w:lineRule="auto"/>
    </w:pPr>
    <w:rPr>
      <w:rFonts w:ascii="Times New Roman" w:hAnsi="Times New Roman" w:eastAsia="Times New Roman"/>
      <w:b w:val="0"/>
      <w:i w:val="0"/>
      <w:color w:val="000000"/>
      <w:sz w:val="22"/>
    </w:rPr>
  </w:style>
  <w:style w:type="paragraph" w:customStyle="1" w:styleId="Small">
    <w:name w:val="Small"/>
    <w:pPr>
      <w:spacing w:after="80" w:line="252" w:lineRule="auto"/>
    </w:pPr>
    <w:rPr>
      <w:rFonts w:ascii="Times New Roman" w:hAnsi="Times New Roman" w:eastAsia="Times New Roman"/>
      <w:b w:val="0"/>
      <w:i w:val="0"/>
      <w:color w:val="000000"/>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 Kamara – alapbeadvány és normaszöveg-tervezet</dc:title>
  <dc:subject>Magyar Adótanácsadói és Könyvelői Szolgáltatók Kamarája</dc:subject>
  <dc:creator>Magyar Könyvelők Országos Egyesülete – szakmai munkaváltozat</dc:creator>
  <cp:keywords>MAX Kamara, KFI, könyvelő, adótanácsadó, kamara, normaszöveg</cp:keywords>
  <dc:description>generated by python-docx</dc:description>
  <cp:lastModifiedBy/>
  <cp:revision>1</cp:revision>
  <dcterms:created xsi:type="dcterms:W3CDTF">2013-12-23T23:15:00Z</dcterms:created>
  <dcterms:modified xsi:type="dcterms:W3CDTF">2013-12-23T23:15:00Z</dcterms:modified>
  <cp:category/>
</cp:coreProperties>
</file>