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E4373" w14:textId="63761E09" w:rsidR="004818FC" w:rsidRDefault="004818FC" w:rsidP="00B64C00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365</w:t>
      </w:r>
      <w:r w:rsidR="00C61393">
        <w:rPr>
          <w:b/>
          <w:sz w:val="28"/>
          <w:szCs w:val="28"/>
        </w:rPr>
        <w:t>,5</w:t>
      </w:r>
      <w:r>
        <w:rPr>
          <w:b/>
          <w:sz w:val="28"/>
          <w:szCs w:val="28"/>
        </w:rPr>
        <w:t xml:space="preserve"> milli</w:t>
      </w:r>
      <w:r w:rsidR="0051776A">
        <w:rPr>
          <w:b/>
          <w:sz w:val="28"/>
          <w:szCs w:val="28"/>
        </w:rPr>
        <w:t>ó forintra</w:t>
      </w:r>
      <w:r>
        <w:rPr>
          <w:b/>
          <w:sz w:val="28"/>
          <w:szCs w:val="28"/>
        </w:rPr>
        <w:t xml:space="preserve"> bírságo</w:t>
      </w:r>
      <w:r w:rsidR="0051776A">
        <w:rPr>
          <w:b/>
          <w:sz w:val="28"/>
          <w:szCs w:val="28"/>
        </w:rPr>
        <w:t>lt</w:t>
      </w:r>
      <w:r>
        <w:rPr>
          <w:b/>
          <w:sz w:val="28"/>
          <w:szCs w:val="28"/>
        </w:rPr>
        <w:t xml:space="preserve"> a GVH egy bahamai</w:t>
      </w:r>
      <w:r w:rsidR="0051776A">
        <w:rPr>
          <w:b/>
          <w:sz w:val="28"/>
          <w:szCs w:val="28"/>
        </w:rPr>
        <w:t xml:space="preserve"> gyökerű</w:t>
      </w:r>
      <w:r>
        <w:rPr>
          <w:b/>
          <w:sz w:val="28"/>
          <w:szCs w:val="28"/>
        </w:rPr>
        <w:t xml:space="preserve"> biztonságtechnikai cég</w:t>
      </w:r>
      <w:r w:rsidR="00EC44A1">
        <w:rPr>
          <w:b/>
          <w:sz w:val="28"/>
          <w:szCs w:val="28"/>
        </w:rPr>
        <w:t>et és a hazai forgalmazó</w:t>
      </w:r>
      <w:r w:rsidR="000A1223">
        <w:rPr>
          <w:b/>
          <w:sz w:val="28"/>
          <w:szCs w:val="28"/>
        </w:rPr>
        <w:t>já</w:t>
      </w:r>
      <w:r w:rsidR="00305851">
        <w:rPr>
          <w:b/>
          <w:sz w:val="28"/>
          <w:szCs w:val="28"/>
        </w:rPr>
        <w:t>t</w:t>
      </w:r>
    </w:p>
    <w:p w14:paraId="7ADF347D" w14:textId="7378C293" w:rsidR="00BA1DBA" w:rsidRPr="00BA1DBA" w:rsidRDefault="00BA1DBA" w:rsidP="00B64C00">
      <w:pPr>
        <w:tabs>
          <w:tab w:val="left" w:pos="567"/>
        </w:tabs>
        <w:spacing w:after="120"/>
        <w:ind w:left="0"/>
        <w:rPr>
          <w:b/>
          <w:i/>
          <w:iCs/>
        </w:rPr>
      </w:pPr>
      <w:r>
        <w:rPr>
          <w:b/>
          <w:i/>
          <w:iCs/>
        </w:rPr>
        <w:t>A bíróság által elrendelt megismételt eljárásban is ugyanazt állapította meg a nemzeti versenyhatóság</w:t>
      </w:r>
    </w:p>
    <w:p w14:paraId="07102EA1" w14:textId="33459AFF" w:rsidR="00347FE2" w:rsidRDefault="005F4F3F" w:rsidP="00B64C00">
      <w:pPr>
        <w:tabs>
          <w:tab w:val="left" w:pos="567"/>
        </w:tabs>
        <w:spacing w:after="120"/>
        <w:ind w:left="0"/>
        <w:rPr>
          <w:rStyle w:val="Kiemels2"/>
          <w:rFonts w:eastAsiaTheme="majorEastAsia"/>
        </w:rPr>
      </w:pPr>
      <w:r w:rsidRPr="00314723">
        <w:rPr>
          <w:b/>
        </w:rPr>
        <w:t>Budapest, 202</w:t>
      </w:r>
      <w:r w:rsidR="00990458">
        <w:rPr>
          <w:b/>
        </w:rPr>
        <w:t>5</w:t>
      </w:r>
      <w:r w:rsidRPr="00314723">
        <w:rPr>
          <w:b/>
        </w:rPr>
        <w:t>.</w:t>
      </w:r>
      <w:r w:rsidR="00A92213">
        <w:rPr>
          <w:b/>
        </w:rPr>
        <w:t xml:space="preserve"> </w:t>
      </w:r>
      <w:r w:rsidR="00AF0251">
        <w:rPr>
          <w:b/>
        </w:rPr>
        <w:t>október</w:t>
      </w:r>
      <w:r w:rsidR="00EC44A1">
        <w:rPr>
          <w:b/>
        </w:rPr>
        <w:t xml:space="preserve"> 14</w:t>
      </w:r>
      <w:r w:rsidRPr="00314723">
        <w:rPr>
          <w:b/>
        </w:rPr>
        <w:t>. –</w:t>
      </w:r>
      <w:bookmarkEnd w:id="0"/>
      <w:r w:rsidR="00605725">
        <w:rPr>
          <w:rStyle w:val="Kiemels2"/>
          <w:rFonts w:eastAsiaTheme="majorEastAsia"/>
        </w:rPr>
        <w:t xml:space="preserve"> </w:t>
      </w:r>
      <w:r w:rsidR="00DE5D8E">
        <w:rPr>
          <w:rStyle w:val="Kiemels2"/>
          <w:rFonts w:eastAsiaTheme="majorEastAsia"/>
        </w:rPr>
        <w:t>A Gazdasági Versenyhivatal</w:t>
      </w:r>
      <w:r w:rsidR="00BA1DBA">
        <w:rPr>
          <w:rStyle w:val="Kiemels2"/>
          <w:rFonts w:eastAsiaTheme="majorEastAsia"/>
        </w:rPr>
        <w:t xml:space="preserve"> (GVH)</w:t>
      </w:r>
      <w:r w:rsidR="00DE5D8E">
        <w:rPr>
          <w:rStyle w:val="Kiemels2"/>
          <w:rFonts w:eastAsiaTheme="majorEastAsia"/>
        </w:rPr>
        <w:t xml:space="preserve"> ö</w:t>
      </w:r>
      <w:r w:rsidR="00AF0251">
        <w:rPr>
          <w:rStyle w:val="Kiemels2"/>
          <w:rFonts w:eastAsiaTheme="majorEastAsia"/>
        </w:rPr>
        <w:t xml:space="preserve">sszesen </w:t>
      </w:r>
      <w:r w:rsidR="004E5B13">
        <w:rPr>
          <w:rStyle w:val="Kiemels2"/>
          <w:rFonts w:eastAsiaTheme="majorEastAsia"/>
        </w:rPr>
        <w:t>365</w:t>
      </w:r>
      <w:r w:rsidR="00BA1DBA">
        <w:rPr>
          <w:rStyle w:val="Kiemels2"/>
          <w:rFonts w:eastAsiaTheme="majorEastAsia"/>
        </w:rPr>
        <w:t>,5</w:t>
      </w:r>
      <w:r w:rsidR="004E5B13">
        <w:rPr>
          <w:rStyle w:val="Kiemels2"/>
          <w:rFonts w:eastAsiaTheme="majorEastAsia"/>
        </w:rPr>
        <w:t xml:space="preserve"> millió forint bírság</w:t>
      </w:r>
      <w:r w:rsidR="0051776A">
        <w:rPr>
          <w:rStyle w:val="Kiemels2"/>
          <w:rFonts w:eastAsiaTheme="majorEastAsia"/>
        </w:rPr>
        <w:t>ot</w:t>
      </w:r>
      <w:r w:rsidR="004818FC">
        <w:rPr>
          <w:rStyle w:val="Kiemels2"/>
          <w:rFonts w:eastAsiaTheme="majorEastAsia"/>
        </w:rPr>
        <w:t xml:space="preserve"> szabott ki </w:t>
      </w:r>
      <w:r w:rsidR="004E5B13">
        <w:rPr>
          <w:rStyle w:val="Kiemels2"/>
          <w:rFonts w:eastAsiaTheme="majorEastAsia"/>
        </w:rPr>
        <w:t xml:space="preserve">a </w:t>
      </w:r>
      <w:r w:rsidR="004E5B13" w:rsidRPr="004E5B13">
        <w:rPr>
          <w:rStyle w:val="Kiemels2"/>
          <w:rFonts w:eastAsiaTheme="majorEastAsia"/>
        </w:rPr>
        <w:t>Paradox biztonságtechnikai</w:t>
      </w:r>
      <w:r w:rsidR="004E5B13">
        <w:rPr>
          <w:rStyle w:val="Kiemels2"/>
          <w:rFonts w:eastAsiaTheme="majorEastAsia"/>
        </w:rPr>
        <w:t xml:space="preserve"> cég</w:t>
      </w:r>
      <w:r w:rsidR="004818FC">
        <w:rPr>
          <w:rStyle w:val="Kiemels2"/>
          <w:rFonts w:eastAsiaTheme="majorEastAsia"/>
        </w:rPr>
        <w:t>re</w:t>
      </w:r>
      <w:r w:rsidR="004E5B13">
        <w:rPr>
          <w:rStyle w:val="Kiemels2"/>
          <w:rFonts w:eastAsiaTheme="majorEastAsia"/>
        </w:rPr>
        <w:t xml:space="preserve"> és annak magyarországi disztribútorá</w:t>
      </w:r>
      <w:r w:rsidR="004818FC">
        <w:rPr>
          <w:rStyle w:val="Kiemels2"/>
          <w:rFonts w:eastAsiaTheme="majorEastAsia"/>
        </w:rPr>
        <w:t>ra</w:t>
      </w:r>
      <w:r w:rsidR="004E5B13">
        <w:rPr>
          <w:rStyle w:val="Kiemels2"/>
          <w:rFonts w:eastAsiaTheme="majorEastAsia"/>
        </w:rPr>
        <w:t>.</w:t>
      </w:r>
      <w:r w:rsidR="0051776A">
        <w:rPr>
          <w:rStyle w:val="Kiemels2"/>
          <w:rFonts w:eastAsiaTheme="majorEastAsia"/>
        </w:rPr>
        <w:t xml:space="preserve"> </w:t>
      </w:r>
      <w:r w:rsidR="005A40E4">
        <w:rPr>
          <w:rStyle w:val="Kiemels2"/>
          <w:rFonts w:eastAsiaTheme="majorEastAsia"/>
        </w:rPr>
        <w:t xml:space="preserve">A </w:t>
      </w:r>
      <w:r w:rsidR="00AE289B">
        <w:rPr>
          <w:rStyle w:val="Kiemels2"/>
          <w:rFonts w:eastAsiaTheme="majorEastAsia"/>
        </w:rPr>
        <w:t xml:space="preserve">közigazgatási </w:t>
      </w:r>
      <w:r w:rsidR="005A40E4">
        <w:rPr>
          <w:rStyle w:val="Kiemels2"/>
          <w:rFonts w:eastAsiaTheme="majorEastAsia"/>
        </w:rPr>
        <w:t xml:space="preserve">bírósági döntés </w:t>
      </w:r>
      <w:r w:rsidR="004818FC">
        <w:rPr>
          <w:rStyle w:val="Kiemels2"/>
          <w:rFonts w:eastAsiaTheme="majorEastAsia"/>
        </w:rPr>
        <w:t>alapján</w:t>
      </w:r>
      <w:r w:rsidR="005A40E4">
        <w:rPr>
          <w:rStyle w:val="Kiemels2"/>
          <w:rFonts w:eastAsiaTheme="majorEastAsia"/>
        </w:rPr>
        <w:t xml:space="preserve"> megismételt eljárásban</w:t>
      </w:r>
      <w:r w:rsidR="004818FC">
        <w:rPr>
          <w:rStyle w:val="Kiemels2"/>
          <w:rFonts w:eastAsiaTheme="majorEastAsia"/>
        </w:rPr>
        <w:t xml:space="preserve"> a nemzeti versenyhatóság</w:t>
      </w:r>
      <w:r w:rsidR="005A40E4">
        <w:rPr>
          <w:rStyle w:val="Kiemels2"/>
          <w:rFonts w:eastAsiaTheme="majorEastAsia"/>
        </w:rPr>
        <w:t xml:space="preserve"> megállapította, hogy a cégek </w:t>
      </w:r>
      <w:r w:rsidR="005A40E4" w:rsidRPr="005A40E4">
        <w:rPr>
          <w:rStyle w:val="Kiemels2"/>
          <w:rFonts w:eastAsiaTheme="majorEastAsia"/>
        </w:rPr>
        <w:t xml:space="preserve">közel </w:t>
      </w:r>
      <w:r w:rsidR="00DE5D8E">
        <w:rPr>
          <w:rStyle w:val="Kiemels2"/>
          <w:rFonts w:eastAsiaTheme="majorEastAsia"/>
        </w:rPr>
        <w:t>tíz</w:t>
      </w:r>
      <w:r w:rsidR="005A40E4" w:rsidRPr="005A40E4">
        <w:rPr>
          <w:rStyle w:val="Kiemels2"/>
          <w:rFonts w:eastAsiaTheme="majorEastAsia"/>
        </w:rPr>
        <w:t xml:space="preserve"> éven keresztül korlátozták a</w:t>
      </w:r>
      <w:r w:rsidR="009F29AE">
        <w:rPr>
          <w:rStyle w:val="Kiemels2"/>
          <w:rFonts w:eastAsiaTheme="majorEastAsia"/>
        </w:rPr>
        <w:t xml:space="preserve"> biztonságtechnikai</w:t>
      </w:r>
      <w:r w:rsidR="005A40E4" w:rsidRPr="005A40E4">
        <w:rPr>
          <w:rStyle w:val="Kiemels2"/>
          <w:rFonts w:eastAsiaTheme="majorEastAsia"/>
        </w:rPr>
        <w:t xml:space="preserve"> eszköz</w:t>
      </w:r>
      <w:r w:rsidR="009F29AE">
        <w:rPr>
          <w:rStyle w:val="Kiemels2"/>
          <w:rFonts w:eastAsiaTheme="majorEastAsia"/>
        </w:rPr>
        <w:t>ö</w:t>
      </w:r>
      <w:r w:rsidR="005A40E4" w:rsidRPr="005A40E4">
        <w:rPr>
          <w:rStyle w:val="Kiemels2"/>
          <w:rFonts w:eastAsiaTheme="majorEastAsia"/>
        </w:rPr>
        <w:t>k értékesítőinek versenyét</w:t>
      </w:r>
      <w:r w:rsidR="004818FC">
        <w:rPr>
          <w:rStyle w:val="Kiemels2"/>
          <w:rFonts w:eastAsiaTheme="majorEastAsia"/>
        </w:rPr>
        <w:t xml:space="preserve"> a hazai piacon.</w:t>
      </w:r>
      <w:r w:rsidR="00847107">
        <w:rPr>
          <w:rStyle w:val="Kiemels2"/>
          <w:rFonts w:eastAsiaTheme="majorEastAsia"/>
        </w:rPr>
        <w:t xml:space="preserve"> A</w:t>
      </w:r>
      <w:r w:rsidR="00BA1DBA">
        <w:rPr>
          <w:rStyle w:val="Kiemels2"/>
          <w:rFonts w:eastAsiaTheme="majorEastAsia"/>
        </w:rPr>
        <w:t>z érintett</w:t>
      </w:r>
      <w:r w:rsidR="00847107">
        <w:rPr>
          <w:rStyle w:val="Kiemels2"/>
          <w:rFonts w:eastAsiaTheme="majorEastAsia"/>
        </w:rPr>
        <w:t xml:space="preserve"> vállalkozások többek között az Európai Unió tagállamai közötti kereskedelmet is korlátozták.</w:t>
      </w:r>
    </w:p>
    <w:bookmarkEnd w:id="1"/>
    <w:p w14:paraId="601B63E1" w14:textId="720E164D" w:rsidR="00170283" w:rsidRDefault="00B20C58" w:rsidP="009A04CA">
      <w:pPr>
        <w:spacing w:after="120"/>
        <w:ind w:left="0"/>
      </w:pPr>
      <w:r>
        <w:t xml:space="preserve">A </w:t>
      </w:r>
      <w:r w:rsidR="00C412A2">
        <w:t>Gazdasági Versenyhivatal</w:t>
      </w:r>
      <w:r w:rsidR="00847107">
        <w:t xml:space="preserve"> egy </w:t>
      </w:r>
      <w:hyperlink r:id="rId8" w:history="1">
        <w:r w:rsidR="00847107" w:rsidRPr="00CD00FB">
          <w:rPr>
            <w:rStyle w:val="Hiperhivatkozs"/>
          </w:rPr>
          <w:t>2019 végén lezárt versenyfelügyeleti eljárásban</w:t>
        </w:r>
      </w:hyperlink>
      <w:r w:rsidR="00847107">
        <w:t xml:space="preserve"> </w:t>
      </w:r>
      <w:r w:rsidR="0051776A">
        <w:t>feltárta</w:t>
      </w:r>
      <w:r w:rsidR="00847107">
        <w:t xml:space="preserve">, hogy a </w:t>
      </w:r>
      <w:r w:rsidR="00847107" w:rsidRPr="00847107">
        <w:t xml:space="preserve">Paradox </w:t>
      </w:r>
      <w:proofErr w:type="spellStart"/>
      <w:r w:rsidR="00847107" w:rsidRPr="00847107">
        <w:t>Security</w:t>
      </w:r>
      <w:proofErr w:type="spellEnd"/>
      <w:r w:rsidR="00847107" w:rsidRPr="00847107">
        <w:t xml:space="preserve"> Sy</w:t>
      </w:r>
      <w:r w:rsidR="004818FC">
        <w:t>s</w:t>
      </w:r>
      <w:r w:rsidR="00847107" w:rsidRPr="00847107">
        <w:t xml:space="preserve">tems </w:t>
      </w:r>
      <w:proofErr w:type="spellStart"/>
      <w:r w:rsidR="00847107" w:rsidRPr="00847107">
        <w:t>Bahamas</w:t>
      </w:r>
      <w:proofErr w:type="spellEnd"/>
      <w:r w:rsidR="00847107" w:rsidRPr="00847107">
        <w:t xml:space="preserve"> Ltd.</w:t>
      </w:r>
      <w:r w:rsidR="004818FC">
        <w:t xml:space="preserve"> (Paradox</w:t>
      </w:r>
      <w:r w:rsidR="0051776A">
        <w:t xml:space="preserve"> </w:t>
      </w:r>
      <w:proofErr w:type="spellStart"/>
      <w:r w:rsidR="0051776A">
        <w:t>Bahamas</w:t>
      </w:r>
      <w:proofErr w:type="spellEnd"/>
      <w:r w:rsidR="004818FC">
        <w:t>)</w:t>
      </w:r>
      <w:r w:rsidR="00847107">
        <w:t xml:space="preserve"> és annak magyarországi disztribútorai</w:t>
      </w:r>
      <w:r w:rsidR="00DE5D8E">
        <w:t>,</w:t>
      </w:r>
      <w:r w:rsidR="00847107">
        <w:t xml:space="preserve"> </w:t>
      </w:r>
      <w:r w:rsidR="00847107" w:rsidRPr="00847107">
        <w:t xml:space="preserve">a </w:t>
      </w:r>
      <w:proofErr w:type="spellStart"/>
      <w:r w:rsidR="00847107" w:rsidRPr="00847107">
        <w:t>Power</w:t>
      </w:r>
      <w:proofErr w:type="spellEnd"/>
      <w:r w:rsidR="00847107" w:rsidRPr="00847107">
        <w:t xml:space="preserve"> Biztonságtechnikai Kereskedelmi Kft</w:t>
      </w:r>
      <w:r w:rsidR="00170283">
        <w:t>.</w:t>
      </w:r>
      <w:r w:rsidR="0051776A">
        <w:t xml:space="preserve"> (</w:t>
      </w:r>
      <w:proofErr w:type="spellStart"/>
      <w:r w:rsidR="0051776A">
        <w:t>Power</w:t>
      </w:r>
      <w:proofErr w:type="spellEnd"/>
      <w:r w:rsidR="0051776A">
        <w:t>)</w:t>
      </w:r>
      <w:r w:rsidR="00170283">
        <w:t xml:space="preserve"> </w:t>
      </w:r>
      <w:r w:rsidR="00847107" w:rsidRPr="00847107">
        <w:t>és a Trióda Biztonságtechnika Zrt.</w:t>
      </w:r>
      <w:r w:rsidR="0051776A">
        <w:t xml:space="preserve"> (Trióda)</w:t>
      </w:r>
      <w:r w:rsidR="00DE5D8E">
        <w:t>,</w:t>
      </w:r>
      <w:r w:rsidR="00847107">
        <w:t xml:space="preserve"> k</w:t>
      </w:r>
      <w:r w:rsidR="00847107" w:rsidRPr="00847107">
        <w:t>özel 10 éven keresztül korlátozták az eszközök értékesítőinek versenyét.</w:t>
      </w:r>
      <w:r w:rsidR="00847107">
        <w:t xml:space="preserve"> </w:t>
      </w:r>
    </w:p>
    <w:p w14:paraId="2ED01A4A" w14:textId="45045522" w:rsidR="00511737" w:rsidRDefault="00847107" w:rsidP="009A04CA">
      <w:pPr>
        <w:spacing w:after="120"/>
        <w:ind w:left="0"/>
      </w:pPr>
      <w:r>
        <w:t>Az</w:t>
      </w:r>
      <w:r w:rsidR="0051776A">
        <w:t xml:space="preserve"> 2019-ben lezárt eredeti</w:t>
      </w:r>
      <w:r>
        <w:t xml:space="preserve"> eljárás során a GVH megállapította, hogy a cégek</w:t>
      </w:r>
      <w:r w:rsidR="00396EEF">
        <w:t>:</w:t>
      </w:r>
    </w:p>
    <w:p w14:paraId="7F67F27D" w14:textId="5255C666" w:rsidR="00396EEF" w:rsidRDefault="00396EEF" w:rsidP="00396EEF">
      <w:pPr>
        <w:pStyle w:val="Listaszerbekezds"/>
        <w:numPr>
          <w:ilvl w:val="0"/>
          <w:numId w:val="6"/>
        </w:numPr>
        <w:spacing w:after="120"/>
      </w:pPr>
      <w:r>
        <w:t>megtiltották a Paradox</w:t>
      </w:r>
      <w:r w:rsidR="00DE5D8E">
        <w:t>-</w:t>
      </w:r>
      <w:r>
        <w:t>termékek külföldre történő értékesítését</w:t>
      </w:r>
      <w:r w:rsidR="00AE289B">
        <w:t>,</w:t>
      </w:r>
      <w:r>
        <w:t xml:space="preserve"> az ún. passzív export tilalma révén</w:t>
      </w:r>
      <w:r w:rsidR="00E46B90">
        <w:t>;</w:t>
      </w:r>
    </w:p>
    <w:p w14:paraId="6EBEEDB9" w14:textId="21D646A8" w:rsidR="00396EEF" w:rsidRDefault="00396EEF" w:rsidP="00396EEF">
      <w:pPr>
        <w:pStyle w:val="Listaszerbekezds"/>
        <w:numPr>
          <w:ilvl w:val="0"/>
          <w:numId w:val="6"/>
        </w:numPr>
        <w:spacing w:after="120"/>
      </w:pPr>
      <w:r w:rsidRPr="00396EEF">
        <w:t>meghatározt</w:t>
      </w:r>
      <w:r>
        <w:t>ák</w:t>
      </w:r>
      <w:r w:rsidRPr="00396EEF">
        <w:t xml:space="preserve"> a minimális telepítői árrés nagyságát, ami a viszonteladási árak közvetett rögzítését eredményezte</w:t>
      </w:r>
      <w:r w:rsidR="00E46B90">
        <w:t>;</w:t>
      </w:r>
    </w:p>
    <w:p w14:paraId="1ABC6857" w14:textId="38D3D660" w:rsidR="00396EEF" w:rsidRDefault="00396EEF" w:rsidP="00396EEF">
      <w:pPr>
        <w:pStyle w:val="Listaszerbekezds"/>
        <w:numPr>
          <w:ilvl w:val="0"/>
          <w:numId w:val="6"/>
        </w:numPr>
        <w:spacing w:after="120"/>
      </w:pPr>
      <w:r w:rsidRPr="00E12DDD">
        <w:t xml:space="preserve">a végfelhasználói árak internetes közzétételének megtiltásával </w:t>
      </w:r>
      <w:r w:rsidR="00E46B90">
        <w:t xml:space="preserve">pedig </w:t>
      </w:r>
      <w:r w:rsidRPr="00E12DDD">
        <w:t>korlátozt</w:t>
      </w:r>
      <w:r>
        <w:t>ák</w:t>
      </w:r>
      <w:r w:rsidRPr="00E12DDD">
        <w:t xml:space="preserve"> a termékek </w:t>
      </w:r>
      <w:r>
        <w:t xml:space="preserve">online </w:t>
      </w:r>
      <w:r w:rsidRPr="00E12DDD">
        <w:t>értékesítését.</w:t>
      </w:r>
    </w:p>
    <w:p w14:paraId="7E199607" w14:textId="21D8D6F4" w:rsidR="00170283" w:rsidRPr="00396EEF" w:rsidRDefault="00170283" w:rsidP="00170283">
      <w:pPr>
        <w:spacing w:after="120"/>
        <w:ind w:left="0"/>
      </w:pPr>
      <w:r w:rsidRPr="00E35254">
        <w:t>A Trióda az alapeljárásban elismerte a jogsértést</w:t>
      </w:r>
      <w:r>
        <w:t xml:space="preserve">, </w:t>
      </w:r>
      <w:r w:rsidRPr="00E35254">
        <w:t>egyezségi nyilatkozatot tett és nem élt jogorvoslattal</w:t>
      </w:r>
      <w:r>
        <w:t xml:space="preserve">, a Paradox </w:t>
      </w:r>
      <w:proofErr w:type="spellStart"/>
      <w:r>
        <w:t>Bahamas</w:t>
      </w:r>
      <w:proofErr w:type="spellEnd"/>
      <w:r>
        <w:t xml:space="preserve"> és a </w:t>
      </w:r>
      <w:proofErr w:type="spellStart"/>
      <w:r>
        <w:t>Power</w:t>
      </w:r>
      <w:proofErr w:type="spellEnd"/>
      <w:r>
        <w:t xml:space="preserve"> azonban bíróságon támadta meg a GVH határozatát. A</w:t>
      </w:r>
      <w:r w:rsidRPr="00170283">
        <w:t xml:space="preserve"> </w:t>
      </w:r>
      <w:r w:rsidR="00AE289B">
        <w:t xml:space="preserve">közigazgatási </w:t>
      </w:r>
      <w:r w:rsidRPr="00170283">
        <w:t xml:space="preserve">bíróság </w:t>
      </w:r>
      <w:r w:rsidR="00E46B90">
        <w:t>aggályokat fogalmazott meg a piac meghatározásával és a tagállamok közötti kereskedelemre gyakorolt hatás indoklásával kapcsolatban</w:t>
      </w:r>
      <w:r w:rsidRPr="00170283">
        <w:t xml:space="preserve">, ezért a </w:t>
      </w:r>
      <w:r w:rsidR="0051776A">
        <w:t>GVH döntését</w:t>
      </w:r>
      <w:r w:rsidRPr="00170283">
        <w:t xml:space="preserve"> hatályon kívül helyezte és új eljárás lefolytatását rendelte el.</w:t>
      </w:r>
    </w:p>
    <w:p w14:paraId="41FB4D55" w14:textId="00247987" w:rsidR="006F7942" w:rsidRDefault="00170283" w:rsidP="009A04CA">
      <w:pPr>
        <w:spacing w:after="120"/>
        <w:ind w:left="0"/>
      </w:pPr>
      <w:r>
        <w:t xml:space="preserve">A GVH a megismételt eljárásban </w:t>
      </w:r>
      <w:r w:rsidR="00AE289B">
        <w:t xml:space="preserve">az eredeti eljárás eredményével megegyező jogsértéseket állapított meg </w:t>
      </w:r>
      <w:r>
        <w:t>a</w:t>
      </w:r>
      <w:r w:rsidR="00AE289B">
        <w:t xml:space="preserve"> </w:t>
      </w:r>
      <w:r w:rsidR="00E46B90" w:rsidRPr="00E46B90">
        <w:t>forgalmazási szerződések, a vállalkozások által tanúsított piaci magatartás, valamint a rajtaütés keretében lefoglalt e-mailek és más bizonyítékok alapján</w:t>
      </w:r>
      <w:r w:rsidR="0051776A">
        <w:t>.</w:t>
      </w:r>
    </w:p>
    <w:p w14:paraId="1A3FAD23" w14:textId="2C969DA5" w:rsidR="007C0EA1" w:rsidRDefault="007C0EA1" w:rsidP="009A04CA">
      <w:pPr>
        <w:spacing w:after="120"/>
        <w:ind w:left="0"/>
      </w:pPr>
      <w:r w:rsidRPr="007C0EA1">
        <w:t>A</w:t>
      </w:r>
      <w:r w:rsidR="000A1223">
        <w:t>z említett</w:t>
      </w:r>
      <w:r>
        <w:t xml:space="preserve"> </w:t>
      </w:r>
      <w:r w:rsidRPr="007C0EA1">
        <w:t xml:space="preserve">versenykorlátozó </w:t>
      </w:r>
      <w:r>
        <w:t>magatartásoknak</w:t>
      </w:r>
      <w:r w:rsidRPr="007C0EA1">
        <w:t xml:space="preserve"> köszönhetően mind a viszonteladók, mind a telepítők magas</w:t>
      </w:r>
      <w:r w:rsidR="0051776A">
        <w:t>abb</w:t>
      </w:r>
      <w:r w:rsidRPr="007C0EA1">
        <w:t xml:space="preserve"> árrést érhettek el a Paradox termékek értékesítésekor, am</w:t>
      </w:r>
      <w:r w:rsidR="00E46B90">
        <w:t>elyet</w:t>
      </w:r>
      <w:r w:rsidRPr="007C0EA1">
        <w:t xml:space="preserve"> végső soron a fogyasztók fizettek meg. </w:t>
      </w:r>
      <w:r>
        <w:t>A</w:t>
      </w:r>
      <w:r w:rsidRPr="007C0EA1">
        <w:t xml:space="preserve"> magas</w:t>
      </w:r>
      <w:r w:rsidR="000A1223">
        <w:t>abb</w:t>
      </w:r>
      <w:r w:rsidRPr="007C0EA1">
        <w:t xml:space="preserve"> árrés arra késztette a viszonteladókat és a telepítőket, hogy más márkákkal szemben az érintett termékeket ajánlják saját vevőiknek, akik </w:t>
      </w:r>
      <w:r>
        <w:t xml:space="preserve">jellemzően – a </w:t>
      </w:r>
      <w:r w:rsidRPr="007C0EA1">
        <w:t>szakértelem hiány</w:t>
      </w:r>
      <w:r>
        <w:t xml:space="preserve">ából fakadóan </w:t>
      </w:r>
      <w:r w:rsidRPr="007C0EA1">
        <w:t xml:space="preserve">– </w:t>
      </w:r>
      <w:r w:rsidR="000A1223">
        <w:t xml:space="preserve">kiszolgáltatott helyzetüknél fogva </w:t>
      </w:r>
      <w:r>
        <w:t>az</w:t>
      </w:r>
      <w:r w:rsidRPr="007C0EA1">
        <w:t xml:space="preserve"> ajánlott márkát választják.</w:t>
      </w:r>
      <w:r w:rsidR="00CD00FB">
        <w:t xml:space="preserve"> Ezzel a Paradox és disztribútorai jelentősen korlátozták a versenyt</w:t>
      </w:r>
      <w:r w:rsidR="0051776A">
        <w:t xml:space="preserve"> a magyarországi piacon is.</w:t>
      </w:r>
      <w:r w:rsidR="00CD00FB">
        <w:t xml:space="preserve"> </w:t>
      </w:r>
    </w:p>
    <w:p w14:paraId="4277B893" w14:textId="2099AAE4" w:rsidR="00237C06" w:rsidRDefault="00237C06" w:rsidP="009A04CA">
      <w:pPr>
        <w:spacing w:after="120"/>
        <w:ind w:left="0"/>
      </w:pPr>
      <w:r>
        <w:lastRenderedPageBreak/>
        <w:t xml:space="preserve">A feltárt jogsértések miatt a GVH Versenytanácsa a Paradox </w:t>
      </w:r>
      <w:proofErr w:type="spellStart"/>
      <w:r>
        <w:t>Bahamas-ra</w:t>
      </w:r>
      <w:proofErr w:type="spellEnd"/>
      <w:r>
        <w:t xml:space="preserve"> 268 millió forint, míg a </w:t>
      </w:r>
      <w:proofErr w:type="spellStart"/>
      <w:r>
        <w:t>Power</w:t>
      </w:r>
      <w:proofErr w:type="spellEnd"/>
      <w:r>
        <w:t xml:space="preserve">-re 97,5 millió forint bírságot szabott ki. </w:t>
      </w:r>
      <w:r w:rsidR="000A1223">
        <w:t xml:space="preserve">A magyar </w:t>
      </w:r>
      <w:r>
        <w:t>cégre kiszab</w:t>
      </w:r>
      <w:r w:rsidR="0051776A">
        <w:t>ott</w:t>
      </w:r>
      <w:r>
        <w:t xml:space="preserve"> bírság meghatározásakor a Versenytanács figyelembe vette, hogy a vállalkozás </w:t>
      </w:r>
      <w:r w:rsidR="00E46B90">
        <w:t>k</w:t>
      </w:r>
      <w:r w:rsidR="0051776A">
        <w:t>is</w:t>
      </w:r>
      <w:r>
        <w:t>-</w:t>
      </w:r>
      <w:r w:rsidR="0051776A">
        <w:t xml:space="preserve"> és középvállalkozás</w:t>
      </w:r>
      <w:r>
        <w:t>nak minősül</w:t>
      </w:r>
      <w:r w:rsidR="00BA1DBA">
        <w:t>, valamint a</w:t>
      </w:r>
      <w:r>
        <w:t xml:space="preserve"> </w:t>
      </w:r>
      <w:proofErr w:type="spellStart"/>
      <w:r>
        <w:t>Power</w:t>
      </w:r>
      <w:proofErr w:type="spellEnd"/>
      <w:r>
        <w:t xml:space="preserve"> a megismételt eljárásban már együttműködést tanúsított, </w:t>
      </w:r>
      <w:r w:rsidR="00A2550A">
        <w:t xml:space="preserve">egyezségi nyilatkozatot tett, </w:t>
      </w:r>
      <w:r>
        <w:t xml:space="preserve">elismerte a jogsértést és megfelelési program kialakítását vállalta, </w:t>
      </w:r>
      <w:r w:rsidR="00E46B90">
        <w:t>a</w:t>
      </w:r>
      <w:r>
        <w:t>melynek megvalósítását a Versenytanács kötelezően elő</w:t>
      </w:r>
      <w:r w:rsidR="00BA1DBA">
        <w:t xml:space="preserve"> is írta</w:t>
      </w:r>
      <w:r>
        <w:t xml:space="preserve"> </w:t>
      </w:r>
      <w:r w:rsidR="00E46B90">
        <w:t>számára</w:t>
      </w:r>
      <w:r>
        <w:t xml:space="preserve">. Ezzel az eredeti ügyben eljárás alá vont három cég közül </w:t>
      </w:r>
      <w:r w:rsidR="00E46B90">
        <w:t>mind</w:t>
      </w:r>
      <w:r>
        <w:t>k</w:t>
      </w:r>
      <w:r w:rsidR="000A1223">
        <w:t>ét</w:t>
      </w:r>
      <w:r>
        <w:t xml:space="preserve"> disztribútor</w:t>
      </w:r>
      <w:r w:rsidR="00E46B90">
        <w:t xml:space="preserve"> </w:t>
      </w:r>
      <w:r>
        <w:t>elismert</w:t>
      </w:r>
      <w:r w:rsidR="000A1223">
        <w:t>e</w:t>
      </w:r>
      <w:r>
        <w:t xml:space="preserve"> a jogsértés</w:t>
      </w:r>
      <w:r w:rsidR="00BA1DBA">
        <w:t>ek</w:t>
      </w:r>
      <w:r>
        <w:t xml:space="preserve"> tényét</w:t>
      </w:r>
      <w:r w:rsidR="00BA1DBA">
        <w:t>.</w:t>
      </w:r>
    </w:p>
    <w:p w14:paraId="498DB921" w14:textId="27CF63C6" w:rsidR="009A04CA" w:rsidRDefault="009A04CA" w:rsidP="009A04CA">
      <w:pPr>
        <w:spacing w:after="120"/>
        <w:ind w:left="0"/>
        <w:rPr>
          <w:b/>
          <w:bCs/>
        </w:rPr>
      </w:pPr>
      <w:r>
        <w:t xml:space="preserve">Az ügy hivatali nyilvántartási száma: </w:t>
      </w:r>
      <w:r w:rsidRPr="009A04CA">
        <w:rPr>
          <w:b/>
          <w:bCs/>
        </w:rPr>
        <w:t>VJ/</w:t>
      </w:r>
      <w:r w:rsidR="00170283">
        <w:rPr>
          <w:b/>
          <w:bCs/>
        </w:rPr>
        <w:t>42</w:t>
      </w:r>
      <w:r w:rsidRPr="009A04CA">
        <w:rPr>
          <w:b/>
          <w:bCs/>
        </w:rPr>
        <w:t>/202</w:t>
      </w:r>
      <w:r w:rsidR="00170283">
        <w:rPr>
          <w:b/>
          <w:bCs/>
        </w:rPr>
        <w:t>2</w:t>
      </w:r>
      <w:r w:rsidR="006F7942">
        <w:rPr>
          <w:b/>
          <w:bCs/>
        </w:rPr>
        <w:t>.</w:t>
      </w:r>
    </w:p>
    <w:p w14:paraId="4800D737" w14:textId="77777777" w:rsidR="00237C06" w:rsidRDefault="00237C06" w:rsidP="009A04CA">
      <w:pPr>
        <w:spacing w:after="120"/>
        <w:ind w:left="0"/>
        <w:rPr>
          <w:b/>
          <w:bCs/>
        </w:rPr>
      </w:pPr>
    </w:p>
    <w:p w14:paraId="45733F46" w14:textId="67872E1C" w:rsidR="005F4F3F" w:rsidRPr="00314723" w:rsidRDefault="005F4F3F" w:rsidP="009A04CA">
      <w:pPr>
        <w:spacing w:after="120"/>
        <w:ind w:left="0"/>
        <w:rPr>
          <w:b/>
          <w:bCs/>
        </w:rPr>
      </w:pPr>
      <w:r w:rsidRPr="00314723">
        <w:rPr>
          <w:b/>
          <w:bCs/>
        </w:rPr>
        <w:t xml:space="preserve">GVH </w:t>
      </w:r>
      <w:r w:rsidR="006F7942">
        <w:rPr>
          <w:b/>
          <w:bCs/>
        </w:rPr>
        <w:t>Kommunikáció</w:t>
      </w:r>
    </w:p>
    <w:p w14:paraId="714F28A8" w14:textId="77777777" w:rsidR="005F4F3F" w:rsidRPr="00314723" w:rsidRDefault="005F4F3F" w:rsidP="00B64C00">
      <w:pPr>
        <w:spacing w:after="0"/>
        <w:ind w:left="0"/>
      </w:pPr>
      <w:r w:rsidRPr="00314723">
        <w:t>További információ:</w:t>
      </w:r>
    </w:p>
    <w:p w14:paraId="04D7B922" w14:textId="77777777" w:rsidR="005F4F3F" w:rsidRPr="00314723" w:rsidRDefault="005F4F3F" w:rsidP="00B64C00">
      <w:pPr>
        <w:spacing w:after="0"/>
        <w:ind w:left="0"/>
      </w:pPr>
      <w:r w:rsidRPr="00314723">
        <w:t>Horváth Bálint, kommunikációs vezető +36 20 238 6939</w:t>
      </w:r>
    </w:p>
    <w:p w14:paraId="4198A9CE" w14:textId="51E5458E" w:rsidR="002A426E" w:rsidRDefault="005F4F3F" w:rsidP="00C25E2F">
      <w:pPr>
        <w:spacing w:after="0"/>
        <w:ind w:left="0"/>
      </w:pPr>
      <w:r w:rsidRPr="00314723">
        <w:t>Gondolovics Katalin, sajtószóvivő +36 30 603 1170</w:t>
      </w:r>
    </w:p>
    <w:sectPr w:rsidR="002A426E" w:rsidSect="00A204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A304A" w14:textId="77777777" w:rsidR="005777BF" w:rsidRDefault="005777BF">
      <w:pPr>
        <w:spacing w:after="0" w:line="240" w:lineRule="auto"/>
      </w:pPr>
      <w:r>
        <w:separator/>
      </w:r>
    </w:p>
  </w:endnote>
  <w:endnote w:type="continuationSeparator" w:id="0">
    <w:p w14:paraId="7A5B7430" w14:textId="77777777" w:rsidR="005777BF" w:rsidRDefault="0057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150AB610" w:rsidR="00B3311F" w:rsidRDefault="001E1049" w:rsidP="001E1049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  <w:r w:rsidR="00736F52"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F3052" w14:textId="77777777" w:rsidR="005777BF" w:rsidRDefault="005777BF">
      <w:pPr>
        <w:spacing w:after="0" w:line="240" w:lineRule="auto"/>
      </w:pPr>
      <w:r>
        <w:separator/>
      </w:r>
    </w:p>
  </w:footnote>
  <w:footnote w:type="continuationSeparator" w:id="0">
    <w:p w14:paraId="264AD270" w14:textId="77777777" w:rsidR="005777BF" w:rsidRDefault="00577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BF5D5" w14:textId="2E58F0BA" w:rsidR="00874C88" w:rsidRDefault="001E1049" w:rsidP="001E1049">
    <w:pPr>
      <w:pStyle w:val="lfej"/>
      <w:ind w:left="0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517E2D1" wp14:editId="0877BF91">
          <wp:extent cx="1691640" cy="586740"/>
          <wp:effectExtent l="0" t="0" r="0" b="0"/>
          <wp:docPr id="2001125028" name="Kép 1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125028" name="Kép 1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E56E61" w14:textId="77777777" w:rsidR="001E1049" w:rsidRDefault="001E1049" w:rsidP="001E1049">
    <w:pPr>
      <w:pStyle w:val="lfej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528428752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4452F"/>
    <w:multiLevelType w:val="hybridMultilevel"/>
    <w:tmpl w:val="E2FA0D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1902"/>
    <w:multiLevelType w:val="multilevel"/>
    <w:tmpl w:val="49D4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7315C"/>
    <w:multiLevelType w:val="hybridMultilevel"/>
    <w:tmpl w:val="977868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296666C1"/>
    <w:multiLevelType w:val="hybridMultilevel"/>
    <w:tmpl w:val="87289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5"/>
  </w:num>
  <w:num w:numId="2" w16cid:durableId="1174959768">
    <w:abstractNumId w:val="6"/>
  </w:num>
  <w:num w:numId="3" w16cid:durableId="885722583">
    <w:abstractNumId w:val="3"/>
  </w:num>
  <w:num w:numId="4" w16cid:durableId="1422945301">
    <w:abstractNumId w:val="4"/>
  </w:num>
  <w:num w:numId="5" w16cid:durableId="561867523">
    <w:abstractNumId w:val="2"/>
  </w:num>
  <w:num w:numId="6" w16cid:durableId="683753085">
    <w:abstractNumId w:val="0"/>
  </w:num>
  <w:num w:numId="7" w16cid:durableId="70741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0D93"/>
    <w:rsid w:val="00002DFE"/>
    <w:rsid w:val="00010AF1"/>
    <w:rsid w:val="0001164D"/>
    <w:rsid w:val="00011AF6"/>
    <w:rsid w:val="00014ECD"/>
    <w:rsid w:val="00017EB5"/>
    <w:rsid w:val="00025546"/>
    <w:rsid w:val="00025D9D"/>
    <w:rsid w:val="000432EC"/>
    <w:rsid w:val="000502B4"/>
    <w:rsid w:val="00050C5C"/>
    <w:rsid w:val="00055453"/>
    <w:rsid w:val="00057D8B"/>
    <w:rsid w:val="00060528"/>
    <w:rsid w:val="0006093C"/>
    <w:rsid w:val="0007220F"/>
    <w:rsid w:val="00080D0A"/>
    <w:rsid w:val="00092905"/>
    <w:rsid w:val="000937F6"/>
    <w:rsid w:val="000A1223"/>
    <w:rsid w:val="000C7EC0"/>
    <w:rsid w:val="000D0161"/>
    <w:rsid w:val="000E4B77"/>
    <w:rsid w:val="000E7621"/>
    <w:rsid w:val="000F61B5"/>
    <w:rsid w:val="0010779E"/>
    <w:rsid w:val="00124D6C"/>
    <w:rsid w:val="00134827"/>
    <w:rsid w:val="00170283"/>
    <w:rsid w:val="00183194"/>
    <w:rsid w:val="001A32A4"/>
    <w:rsid w:val="001A5996"/>
    <w:rsid w:val="001C6F96"/>
    <w:rsid w:val="001D2926"/>
    <w:rsid w:val="001D561A"/>
    <w:rsid w:val="001E1049"/>
    <w:rsid w:val="001E227E"/>
    <w:rsid w:val="00202D48"/>
    <w:rsid w:val="00206DF4"/>
    <w:rsid w:val="00221268"/>
    <w:rsid w:val="00225C60"/>
    <w:rsid w:val="00230023"/>
    <w:rsid w:val="002300B2"/>
    <w:rsid w:val="00230286"/>
    <w:rsid w:val="002311BF"/>
    <w:rsid w:val="00233F23"/>
    <w:rsid w:val="00237C06"/>
    <w:rsid w:val="00253BD3"/>
    <w:rsid w:val="0025537B"/>
    <w:rsid w:val="002574F3"/>
    <w:rsid w:val="002732CD"/>
    <w:rsid w:val="002734A3"/>
    <w:rsid w:val="002756CF"/>
    <w:rsid w:val="00292199"/>
    <w:rsid w:val="00293E97"/>
    <w:rsid w:val="002A0E05"/>
    <w:rsid w:val="002A426E"/>
    <w:rsid w:val="002B260B"/>
    <w:rsid w:val="002B508F"/>
    <w:rsid w:val="002B5D44"/>
    <w:rsid w:val="002B7F2B"/>
    <w:rsid w:val="002C122C"/>
    <w:rsid w:val="002C712D"/>
    <w:rsid w:val="00305851"/>
    <w:rsid w:val="003149D0"/>
    <w:rsid w:val="00321653"/>
    <w:rsid w:val="00325F58"/>
    <w:rsid w:val="003303E4"/>
    <w:rsid w:val="00333E7D"/>
    <w:rsid w:val="00344131"/>
    <w:rsid w:val="00347FE2"/>
    <w:rsid w:val="00351FB1"/>
    <w:rsid w:val="00356D88"/>
    <w:rsid w:val="00361831"/>
    <w:rsid w:val="003808BC"/>
    <w:rsid w:val="00382160"/>
    <w:rsid w:val="003946C2"/>
    <w:rsid w:val="00395276"/>
    <w:rsid w:val="00396EEF"/>
    <w:rsid w:val="003A7040"/>
    <w:rsid w:val="003C30B9"/>
    <w:rsid w:val="003C51E4"/>
    <w:rsid w:val="003D1817"/>
    <w:rsid w:val="003E0148"/>
    <w:rsid w:val="003E675C"/>
    <w:rsid w:val="00401C7C"/>
    <w:rsid w:val="0042172B"/>
    <w:rsid w:val="00424B8A"/>
    <w:rsid w:val="00430D05"/>
    <w:rsid w:val="00431C0D"/>
    <w:rsid w:val="004528FA"/>
    <w:rsid w:val="004545F8"/>
    <w:rsid w:val="00454D0A"/>
    <w:rsid w:val="004818FC"/>
    <w:rsid w:val="00485F3F"/>
    <w:rsid w:val="00491BFC"/>
    <w:rsid w:val="00492DFC"/>
    <w:rsid w:val="0049629F"/>
    <w:rsid w:val="00497F9C"/>
    <w:rsid w:val="004A4246"/>
    <w:rsid w:val="004B1EC2"/>
    <w:rsid w:val="004B3741"/>
    <w:rsid w:val="004B6ED3"/>
    <w:rsid w:val="004C0406"/>
    <w:rsid w:val="004C1A81"/>
    <w:rsid w:val="004C2DF9"/>
    <w:rsid w:val="004E3890"/>
    <w:rsid w:val="004E5B13"/>
    <w:rsid w:val="00511737"/>
    <w:rsid w:val="00515173"/>
    <w:rsid w:val="0051776A"/>
    <w:rsid w:val="00523A87"/>
    <w:rsid w:val="00535A11"/>
    <w:rsid w:val="00545903"/>
    <w:rsid w:val="00550820"/>
    <w:rsid w:val="005566B7"/>
    <w:rsid w:val="0056633C"/>
    <w:rsid w:val="005742EB"/>
    <w:rsid w:val="00574344"/>
    <w:rsid w:val="005777BF"/>
    <w:rsid w:val="0059758B"/>
    <w:rsid w:val="005A068C"/>
    <w:rsid w:val="005A20C2"/>
    <w:rsid w:val="005A384B"/>
    <w:rsid w:val="005A40E4"/>
    <w:rsid w:val="005A4856"/>
    <w:rsid w:val="005A5876"/>
    <w:rsid w:val="005B31C0"/>
    <w:rsid w:val="005C5A33"/>
    <w:rsid w:val="005D0788"/>
    <w:rsid w:val="005D7DF1"/>
    <w:rsid w:val="005E13E7"/>
    <w:rsid w:val="005E7373"/>
    <w:rsid w:val="005F4F3F"/>
    <w:rsid w:val="006037EF"/>
    <w:rsid w:val="00605725"/>
    <w:rsid w:val="006256C4"/>
    <w:rsid w:val="00625E60"/>
    <w:rsid w:val="00626E97"/>
    <w:rsid w:val="0063452B"/>
    <w:rsid w:val="006374FD"/>
    <w:rsid w:val="006536AE"/>
    <w:rsid w:val="00694570"/>
    <w:rsid w:val="006A5FD1"/>
    <w:rsid w:val="006C7EAF"/>
    <w:rsid w:val="006D0F58"/>
    <w:rsid w:val="006D69E6"/>
    <w:rsid w:val="006D7040"/>
    <w:rsid w:val="006D7D61"/>
    <w:rsid w:val="006E2040"/>
    <w:rsid w:val="006F7942"/>
    <w:rsid w:val="00713098"/>
    <w:rsid w:val="007211D2"/>
    <w:rsid w:val="007232F7"/>
    <w:rsid w:val="00736F52"/>
    <w:rsid w:val="0077091C"/>
    <w:rsid w:val="00771912"/>
    <w:rsid w:val="00772645"/>
    <w:rsid w:val="00781D29"/>
    <w:rsid w:val="007834ED"/>
    <w:rsid w:val="007863D5"/>
    <w:rsid w:val="00787303"/>
    <w:rsid w:val="00795618"/>
    <w:rsid w:val="007C0EA1"/>
    <w:rsid w:val="007C3D7E"/>
    <w:rsid w:val="007C504C"/>
    <w:rsid w:val="007C7270"/>
    <w:rsid w:val="007E33B9"/>
    <w:rsid w:val="007F49A6"/>
    <w:rsid w:val="007F6DDC"/>
    <w:rsid w:val="00821F1C"/>
    <w:rsid w:val="0082317E"/>
    <w:rsid w:val="008302EE"/>
    <w:rsid w:val="00835621"/>
    <w:rsid w:val="00835934"/>
    <w:rsid w:val="00847107"/>
    <w:rsid w:val="00847363"/>
    <w:rsid w:val="00861DEF"/>
    <w:rsid w:val="00874C88"/>
    <w:rsid w:val="00877E47"/>
    <w:rsid w:val="008857DA"/>
    <w:rsid w:val="00886B5A"/>
    <w:rsid w:val="00890898"/>
    <w:rsid w:val="008927DB"/>
    <w:rsid w:val="008A0CAC"/>
    <w:rsid w:val="008A4731"/>
    <w:rsid w:val="008A580F"/>
    <w:rsid w:val="008B3221"/>
    <w:rsid w:val="008B64CF"/>
    <w:rsid w:val="008B7C72"/>
    <w:rsid w:val="008C44CC"/>
    <w:rsid w:val="008D1DAB"/>
    <w:rsid w:val="008D46FA"/>
    <w:rsid w:val="008E272C"/>
    <w:rsid w:val="008E34D7"/>
    <w:rsid w:val="008E6757"/>
    <w:rsid w:val="00903E31"/>
    <w:rsid w:val="00904062"/>
    <w:rsid w:val="00905BBD"/>
    <w:rsid w:val="00916F81"/>
    <w:rsid w:val="0092208D"/>
    <w:rsid w:val="00927A0A"/>
    <w:rsid w:val="0093337D"/>
    <w:rsid w:val="00933AD1"/>
    <w:rsid w:val="00972CA9"/>
    <w:rsid w:val="0097359E"/>
    <w:rsid w:val="00981225"/>
    <w:rsid w:val="00987D35"/>
    <w:rsid w:val="00990119"/>
    <w:rsid w:val="00990458"/>
    <w:rsid w:val="009A04CA"/>
    <w:rsid w:val="009D3093"/>
    <w:rsid w:val="009E148C"/>
    <w:rsid w:val="009E435B"/>
    <w:rsid w:val="009E5F6C"/>
    <w:rsid w:val="009E79B3"/>
    <w:rsid w:val="009F29AE"/>
    <w:rsid w:val="009F2C39"/>
    <w:rsid w:val="00A06E05"/>
    <w:rsid w:val="00A14019"/>
    <w:rsid w:val="00A16002"/>
    <w:rsid w:val="00A204B1"/>
    <w:rsid w:val="00A2550A"/>
    <w:rsid w:val="00A475C4"/>
    <w:rsid w:val="00A5471B"/>
    <w:rsid w:val="00A559C2"/>
    <w:rsid w:val="00A610DF"/>
    <w:rsid w:val="00A61C92"/>
    <w:rsid w:val="00A671EC"/>
    <w:rsid w:val="00A7026D"/>
    <w:rsid w:val="00A715B2"/>
    <w:rsid w:val="00A751D9"/>
    <w:rsid w:val="00A814BE"/>
    <w:rsid w:val="00A874BB"/>
    <w:rsid w:val="00A87CA5"/>
    <w:rsid w:val="00A909A2"/>
    <w:rsid w:val="00A92213"/>
    <w:rsid w:val="00A96E66"/>
    <w:rsid w:val="00AA43C4"/>
    <w:rsid w:val="00AA6196"/>
    <w:rsid w:val="00AB0A77"/>
    <w:rsid w:val="00AB2016"/>
    <w:rsid w:val="00AB5D6E"/>
    <w:rsid w:val="00AE0C35"/>
    <w:rsid w:val="00AE289B"/>
    <w:rsid w:val="00AE316E"/>
    <w:rsid w:val="00AE40D6"/>
    <w:rsid w:val="00AF0251"/>
    <w:rsid w:val="00AF20CE"/>
    <w:rsid w:val="00AF45D3"/>
    <w:rsid w:val="00B02F46"/>
    <w:rsid w:val="00B056E2"/>
    <w:rsid w:val="00B0747E"/>
    <w:rsid w:val="00B20C58"/>
    <w:rsid w:val="00B3311F"/>
    <w:rsid w:val="00B35B5C"/>
    <w:rsid w:val="00B40517"/>
    <w:rsid w:val="00B61F88"/>
    <w:rsid w:val="00B6413F"/>
    <w:rsid w:val="00B64C00"/>
    <w:rsid w:val="00B70E7E"/>
    <w:rsid w:val="00B90563"/>
    <w:rsid w:val="00B97771"/>
    <w:rsid w:val="00BA1DBA"/>
    <w:rsid w:val="00BB087E"/>
    <w:rsid w:val="00BB116D"/>
    <w:rsid w:val="00BB2440"/>
    <w:rsid w:val="00BC3402"/>
    <w:rsid w:val="00BC70D9"/>
    <w:rsid w:val="00BD6A36"/>
    <w:rsid w:val="00BD7179"/>
    <w:rsid w:val="00C02C4E"/>
    <w:rsid w:val="00C03174"/>
    <w:rsid w:val="00C03824"/>
    <w:rsid w:val="00C07C0E"/>
    <w:rsid w:val="00C21B3F"/>
    <w:rsid w:val="00C248A0"/>
    <w:rsid w:val="00C25E2F"/>
    <w:rsid w:val="00C412A2"/>
    <w:rsid w:val="00C540F9"/>
    <w:rsid w:val="00C55449"/>
    <w:rsid w:val="00C56CD6"/>
    <w:rsid w:val="00C61393"/>
    <w:rsid w:val="00C61673"/>
    <w:rsid w:val="00C64636"/>
    <w:rsid w:val="00C731E1"/>
    <w:rsid w:val="00C82749"/>
    <w:rsid w:val="00C836BD"/>
    <w:rsid w:val="00C87708"/>
    <w:rsid w:val="00CA2EBA"/>
    <w:rsid w:val="00CA56C7"/>
    <w:rsid w:val="00CD00FB"/>
    <w:rsid w:val="00CD63D8"/>
    <w:rsid w:val="00CE27A3"/>
    <w:rsid w:val="00CF0B45"/>
    <w:rsid w:val="00D12454"/>
    <w:rsid w:val="00D12884"/>
    <w:rsid w:val="00D31443"/>
    <w:rsid w:val="00D900B8"/>
    <w:rsid w:val="00D949AD"/>
    <w:rsid w:val="00D960D0"/>
    <w:rsid w:val="00DB5643"/>
    <w:rsid w:val="00DB6ED6"/>
    <w:rsid w:val="00DC389D"/>
    <w:rsid w:val="00DC6E83"/>
    <w:rsid w:val="00DC752D"/>
    <w:rsid w:val="00DE5D8E"/>
    <w:rsid w:val="00DF52DC"/>
    <w:rsid w:val="00E044AF"/>
    <w:rsid w:val="00E36C8E"/>
    <w:rsid w:val="00E45607"/>
    <w:rsid w:val="00E46B90"/>
    <w:rsid w:val="00E665BD"/>
    <w:rsid w:val="00E87D38"/>
    <w:rsid w:val="00EA233F"/>
    <w:rsid w:val="00EA31B0"/>
    <w:rsid w:val="00EA454A"/>
    <w:rsid w:val="00EA7FA0"/>
    <w:rsid w:val="00EC44A1"/>
    <w:rsid w:val="00EC4637"/>
    <w:rsid w:val="00F0164C"/>
    <w:rsid w:val="00F04C25"/>
    <w:rsid w:val="00F13997"/>
    <w:rsid w:val="00F155F8"/>
    <w:rsid w:val="00F22CD6"/>
    <w:rsid w:val="00F32D9A"/>
    <w:rsid w:val="00F4323C"/>
    <w:rsid w:val="00F447C8"/>
    <w:rsid w:val="00F53B38"/>
    <w:rsid w:val="00F54A4A"/>
    <w:rsid w:val="00F8356C"/>
    <w:rsid w:val="00F963C8"/>
    <w:rsid w:val="00FC5159"/>
    <w:rsid w:val="00FD1928"/>
    <w:rsid w:val="00FD31ED"/>
    <w:rsid w:val="00FD5559"/>
    <w:rsid w:val="00FE5D23"/>
    <w:rsid w:val="00FE6CB9"/>
    <w:rsid w:val="00FF0DCC"/>
    <w:rsid w:val="00FF12BA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4F3F"/>
    <w:rPr>
      <w:b/>
      <w:bCs/>
    </w:rPr>
  </w:style>
  <w:style w:type="character" w:customStyle="1" w:styleId="rynqvb">
    <w:name w:val="rynqvb"/>
    <w:basedOn w:val="Bekezdsalapbettpusa"/>
    <w:rsid w:val="00C8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19_es_sajtokozlemenyek/tobb-mint-felmilliardos-birsagot-szabott-ki-a-versenyhatosag-biztonsagtechnikai-termekek-forgalmazasanak-korlatozasa-miatt-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3309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2</cp:revision>
  <dcterms:created xsi:type="dcterms:W3CDTF">2025-10-14T06:00:00Z</dcterms:created>
  <dcterms:modified xsi:type="dcterms:W3CDTF">2025-10-14T06:00:00Z</dcterms:modified>
</cp:coreProperties>
</file>