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E62E5" w14:textId="252EF254" w:rsidR="009E5F6C" w:rsidRDefault="009E5F6C" w:rsidP="00B64C00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A G</w:t>
      </w:r>
      <w:r w:rsidR="00535A11">
        <w:rPr>
          <w:b/>
          <w:sz w:val="28"/>
          <w:szCs w:val="28"/>
        </w:rPr>
        <w:t>VH</w:t>
      </w:r>
      <w:r>
        <w:rPr>
          <w:b/>
          <w:sz w:val="28"/>
          <w:szCs w:val="28"/>
        </w:rPr>
        <w:t xml:space="preserve"> összesen 1,4 milliárd forint bírságot szabott ki egészségügyi eszközöket gyártó és forgalmazó cégek </w:t>
      </w:r>
      <w:proofErr w:type="spellStart"/>
      <w:r>
        <w:rPr>
          <w:b/>
          <w:sz w:val="28"/>
          <w:szCs w:val="28"/>
        </w:rPr>
        <w:t>kartellezése</w:t>
      </w:r>
      <w:proofErr w:type="spellEnd"/>
      <w:r>
        <w:rPr>
          <w:b/>
          <w:sz w:val="28"/>
          <w:szCs w:val="28"/>
        </w:rPr>
        <w:t xml:space="preserve"> miatt</w:t>
      </w:r>
    </w:p>
    <w:p w14:paraId="07102EA1" w14:textId="2FB3AD6E" w:rsidR="00347FE2" w:rsidRDefault="005F4F3F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990458">
        <w:rPr>
          <w:b/>
        </w:rPr>
        <w:t>5</w:t>
      </w:r>
      <w:r w:rsidRPr="00314723">
        <w:rPr>
          <w:b/>
        </w:rPr>
        <w:t>.</w:t>
      </w:r>
      <w:r w:rsidR="00A92213">
        <w:rPr>
          <w:b/>
        </w:rPr>
        <w:t xml:space="preserve"> augusztus</w:t>
      </w:r>
      <w:r w:rsidR="00990458">
        <w:rPr>
          <w:b/>
        </w:rPr>
        <w:t xml:space="preserve"> </w:t>
      </w:r>
      <w:r w:rsidR="005A5876">
        <w:rPr>
          <w:b/>
        </w:rPr>
        <w:t>1</w:t>
      </w:r>
      <w:r w:rsidRPr="00314723">
        <w:rPr>
          <w:b/>
        </w:rPr>
        <w:t>.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9E5F6C">
        <w:rPr>
          <w:rStyle w:val="Kiemels2"/>
          <w:rFonts w:eastAsiaTheme="majorEastAsia"/>
        </w:rPr>
        <w:t xml:space="preserve">Egy részben megismételt eljárásban </w:t>
      </w:r>
      <w:r w:rsidR="00347FE2">
        <w:rPr>
          <w:rStyle w:val="Kiemels2"/>
          <w:rFonts w:eastAsiaTheme="majorEastAsia"/>
        </w:rPr>
        <w:t>54</w:t>
      </w:r>
      <w:r w:rsidR="00FD5559">
        <w:rPr>
          <w:rStyle w:val="Kiemels2"/>
          <w:rFonts w:eastAsiaTheme="majorEastAsia"/>
        </w:rPr>
        <w:t>7</w:t>
      </w:r>
      <w:r w:rsidR="009E5F6C">
        <w:rPr>
          <w:rStyle w:val="Kiemels2"/>
          <w:rFonts w:eastAsiaTheme="majorEastAsia"/>
        </w:rPr>
        <w:t>,8</w:t>
      </w:r>
      <w:r w:rsidR="00347FE2">
        <w:rPr>
          <w:rStyle w:val="Kiemels2"/>
          <w:rFonts w:eastAsiaTheme="majorEastAsia"/>
        </w:rPr>
        <w:t xml:space="preserve"> millió forint bírságot szabott ki a G</w:t>
      </w:r>
      <w:r w:rsidR="00535A11">
        <w:rPr>
          <w:rStyle w:val="Kiemels2"/>
          <w:rFonts w:eastAsiaTheme="majorEastAsia"/>
        </w:rPr>
        <w:t>azdasági Versenyhivatal (GVH)</w:t>
      </w:r>
      <w:r w:rsidR="00347FE2">
        <w:rPr>
          <w:rStyle w:val="Kiemels2"/>
          <w:rFonts w:eastAsiaTheme="majorEastAsia"/>
        </w:rPr>
        <w:t xml:space="preserve"> Versenytanácsa három </w:t>
      </w:r>
      <w:r w:rsidR="009E5F6C">
        <w:rPr>
          <w:rStyle w:val="Kiemels2"/>
          <w:rFonts w:eastAsiaTheme="majorEastAsia"/>
        </w:rPr>
        <w:t xml:space="preserve">olyan </w:t>
      </w:r>
      <w:r w:rsidR="00347FE2">
        <w:rPr>
          <w:rStyle w:val="Kiemels2"/>
          <w:rFonts w:eastAsiaTheme="majorEastAsia"/>
        </w:rPr>
        <w:t>vállalkozásra</w:t>
      </w:r>
      <w:r w:rsidR="009E5F6C">
        <w:rPr>
          <w:rStyle w:val="Kiemels2"/>
          <w:rFonts w:eastAsiaTheme="majorEastAsia"/>
        </w:rPr>
        <w:t>, amely</w:t>
      </w:r>
      <w:r w:rsidR="00535A11">
        <w:rPr>
          <w:rStyle w:val="Kiemels2"/>
          <w:rFonts w:eastAsiaTheme="majorEastAsia"/>
        </w:rPr>
        <w:t>ek</w:t>
      </w:r>
      <w:r w:rsidR="009E5F6C">
        <w:rPr>
          <w:rStyle w:val="Kiemels2"/>
          <w:rFonts w:eastAsiaTheme="majorEastAsia"/>
        </w:rPr>
        <w:t xml:space="preserve"> vitatt</w:t>
      </w:r>
      <w:r w:rsidR="00535A11">
        <w:rPr>
          <w:rStyle w:val="Kiemels2"/>
          <w:rFonts w:eastAsiaTheme="majorEastAsia"/>
        </w:rPr>
        <w:t>ák</w:t>
      </w:r>
      <w:r w:rsidR="009E5F6C">
        <w:rPr>
          <w:rStyle w:val="Kiemels2"/>
          <w:rFonts w:eastAsiaTheme="majorEastAsia"/>
        </w:rPr>
        <w:t xml:space="preserve"> a versenyhatóság</w:t>
      </w:r>
      <w:r w:rsidR="00535A11">
        <w:rPr>
          <w:rStyle w:val="Kiemels2"/>
          <w:rFonts w:eastAsiaTheme="majorEastAsia"/>
        </w:rPr>
        <w:t xml:space="preserve"> korábbi</w:t>
      </w:r>
      <w:r w:rsidR="009E5F6C">
        <w:rPr>
          <w:rStyle w:val="Kiemels2"/>
          <w:rFonts w:eastAsiaTheme="majorEastAsia"/>
        </w:rPr>
        <w:t xml:space="preserve"> döntését. </w:t>
      </w:r>
      <w:r w:rsidR="00347FE2">
        <w:rPr>
          <w:rStyle w:val="Kiemels2"/>
          <w:rFonts w:eastAsiaTheme="majorEastAsia"/>
        </w:rPr>
        <w:t>Az egészségügyi eszközöket gyártó és forgalmazó cégek elismerték a feltárt tényállást és</w:t>
      </w:r>
      <w:r w:rsidR="003808BC">
        <w:rPr>
          <w:rStyle w:val="Kiemels2"/>
          <w:rFonts w:eastAsiaTheme="majorEastAsia"/>
        </w:rPr>
        <w:t xml:space="preserve"> a</w:t>
      </w:r>
      <w:r w:rsidR="00535A11">
        <w:rPr>
          <w:rStyle w:val="Kiemels2"/>
          <w:rFonts w:eastAsiaTheme="majorEastAsia"/>
        </w:rPr>
        <w:t xml:space="preserve"> megismételt eljárásban már</w:t>
      </w:r>
      <w:r w:rsidR="00347FE2">
        <w:rPr>
          <w:rStyle w:val="Kiemels2"/>
          <w:rFonts w:eastAsiaTheme="majorEastAsia"/>
        </w:rPr>
        <w:t xml:space="preserve"> együttműködtek a GVH-val. </w:t>
      </w:r>
      <w:r w:rsidR="00C412A2">
        <w:rPr>
          <w:rStyle w:val="Kiemels2"/>
          <w:rFonts w:eastAsiaTheme="majorEastAsia"/>
        </w:rPr>
        <w:t xml:space="preserve">Magát a </w:t>
      </w:r>
      <w:proofErr w:type="spellStart"/>
      <w:r w:rsidR="00C412A2">
        <w:rPr>
          <w:rStyle w:val="Kiemels2"/>
          <w:rFonts w:eastAsiaTheme="majorEastAsia"/>
        </w:rPr>
        <w:t>kartellezés</w:t>
      </w:r>
      <w:proofErr w:type="spellEnd"/>
      <w:r w:rsidR="00C412A2">
        <w:rPr>
          <w:rStyle w:val="Kiemels2"/>
          <w:rFonts w:eastAsiaTheme="majorEastAsia"/>
        </w:rPr>
        <w:t xml:space="preserve"> elkövetését a </w:t>
      </w:r>
      <w:r w:rsidR="00DF52DC">
        <w:rPr>
          <w:rStyle w:val="Kiemels2"/>
          <w:rFonts w:eastAsiaTheme="majorEastAsia"/>
        </w:rPr>
        <w:t xml:space="preserve">bíróság </w:t>
      </w:r>
      <w:r w:rsidR="003149D0">
        <w:rPr>
          <w:rStyle w:val="Kiemels2"/>
          <w:rFonts w:eastAsiaTheme="majorEastAsia"/>
        </w:rPr>
        <w:t>is megerősítette</w:t>
      </w:r>
      <w:r w:rsidR="00C412A2">
        <w:rPr>
          <w:rStyle w:val="Kiemels2"/>
          <w:rFonts w:eastAsiaTheme="majorEastAsia"/>
        </w:rPr>
        <w:t xml:space="preserve">, </w:t>
      </w:r>
      <w:r w:rsidR="00DF52DC">
        <w:rPr>
          <w:rStyle w:val="Kiemels2"/>
          <w:rFonts w:eastAsiaTheme="majorEastAsia"/>
        </w:rPr>
        <w:t xml:space="preserve">de három cég esetében a bírság mértékét </w:t>
      </w:r>
      <w:proofErr w:type="spellStart"/>
      <w:r w:rsidR="00DF52DC">
        <w:rPr>
          <w:rStyle w:val="Kiemels2"/>
          <w:rFonts w:eastAsiaTheme="majorEastAsia"/>
        </w:rPr>
        <w:t>újraszámoltatta</w:t>
      </w:r>
      <w:proofErr w:type="spellEnd"/>
      <w:r w:rsidR="00DF52DC">
        <w:rPr>
          <w:rStyle w:val="Kiemels2"/>
          <w:rFonts w:eastAsiaTheme="majorEastAsia"/>
        </w:rPr>
        <w:t>.</w:t>
      </w:r>
    </w:p>
    <w:bookmarkEnd w:id="1"/>
    <w:p w14:paraId="2ED01A4A" w14:textId="151357F6" w:rsidR="00511737" w:rsidRDefault="00B20C58" w:rsidP="009A04CA">
      <w:pPr>
        <w:spacing w:after="120"/>
        <w:ind w:left="0"/>
      </w:pPr>
      <w:r>
        <w:t xml:space="preserve">A </w:t>
      </w:r>
      <w:r w:rsidR="00C412A2">
        <w:t>Gazdasági Versenyhivatal</w:t>
      </w:r>
      <w:r>
        <w:t xml:space="preserve"> 2020 elején </w:t>
      </w:r>
      <w:hyperlink r:id="rId8" w:history="1">
        <w:r w:rsidRPr="00B20C58">
          <w:rPr>
            <w:rStyle w:val="Hiperhivatkozs"/>
          </w:rPr>
          <w:t>összesen több mint 1,6 milliárd forint bírságot szabott ki</w:t>
        </w:r>
      </w:hyperlink>
      <w:r>
        <w:t xml:space="preserve"> 10 vállalkozásra képalkotó diagnosztikai eszközökkel kapcsolatos közbeszerzési eljárásokban történő összejátszásért.</w:t>
      </w:r>
    </w:p>
    <w:p w14:paraId="5055F94C" w14:textId="12998854" w:rsidR="005742EB" w:rsidRDefault="00B20C58" w:rsidP="009A04CA">
      <w:pPr>
        <w:spacing w:after="120"/>
        <w:ind w:left="0"/>
      </w:pPr>
      <w:r>
        <w:t xml:space="preserve">Az eredeti ügyben több </w:t>
      </w:r>
      <w:r w:rsidR="00BB2440">
        <w:t xml:space="preserve">vállalkozás </w:t>
      </w:r>
      <w:r>
        <w:t>is együttműködött a GVH-val,</w:t>
      </w:r>
      <w:r w:rsidR="00BB2440">
        <w:t xml:space="preserve"> h</w:t>
      </w:r>
      <w:r w:rsidR="00BB2440" w:rsidRPr="00BB2440">
        <w:t>árom</w:t>
      </w:r>
      <w:r w:rsidR="00BB2440">
        <w:t xml:space="preserve"> </w:t>
      </w:r>
      <w:r w:rsidR="00BB2440" w:rsidRPr="00BB2440">
        <w:t>önként jelentette be</w:t>
      </w:r>
      <w:r w:rsidR="009E148C">
        <w:t xml:space="preserve"> a</w:t>
      </w:r>
      <w:r w:rsidR="00BB2440" w:rsidRPr="00BB2440">
        <w:t xml:space="preserve"> jogsértő magatartását és arra bizonyítékokat is szolgáltatott.</w:t>
      </w:r>
      <w:r w:rsidR="00BB2440">
        <w:t xml:space="preserve"> Ezért ezek a </w:t>
      </w:r>
      <w:r w:rsidR="00AD2D5E">
        <w:t>cégek</w:t>
      </w:r>
      <w:r w:rsidR="00AD2D5E" w:rsidRPr="00BB2440">
        <w:t xml:space="preserve"> </w:t>
      </w:r>
      <w:r w:rsidR="00AD2D5E">
        <w:t>bírságcsökkentésben</w:t>
      </w:r>
      <w:r>
        <w:t xml:space="preserve"> is részesültek. Ezen</w:t>
      </w:r>
      <w:r w:rsidR="00BB2440">
        <w:t xml:space="preserve"> vállalkozások</w:t>
      </w:r>
      <w:r>
        <w:t xml:space="preserve"> a kiszabott bírságokat</w:t>
      </w:r>
      <w:r w:rsidR="00BB2440">
        <w:t xml:space="preserve"> – több mint 86</w:t>
      </w:r>
      <w:r w:rsidR="00253BD3">
        <w:t>1</w:t>
      </w:r>
      <w:r w:rsidR="00BB2440">
        <w:t xml:space="preserve"> millió forintot – </w:t>
      </w:r>
      <w:r>
        <w:t>azóta be is fizették</w:t>
      </w:r>
      <w:r w:rsidR="00347FE2">
        <w:t xml:space="preserve"> a központi költségvetésbe.</w:t>
      </w:r>
      <w:r>
        <w:t xml:space="preserve"> </w:t>
      </w:r>
    </w:p>
    <w:p w14:paraId="70755967" w14:textId="7A05ECAF" w:rsidR="00B20C58" w:rsidRDefault="00B20C58" w:rsidP="009A04CA">
      <w:pPr>
        <w:spacing w:after="120"/>
        <w:ind w:left="0"/>
      </w:pPr>
      <w:r>
        <w:t xml:space="preserve">Három vállalkozás – </w:t>
      </w:r>
      <w:r w:rsidRPr="009433BE">
        <w:t>GE Hungary Ipari és Kereskedelmi Kft</w:t>
      </w:r>
      <w:r>
        <w:t xml:space="preserve">., </w:t>
      </w:r>
      <w:r w:rsidRPr="005B507C">
        <w:t xml:space="preserve">Premier G. </w:t>
      </w:r>
      <w:proofErr w:type="spellStart"/>
      <w:r w:rsidRPr="005B507C">
        <w:t>Med</w:t>
      </w:r>
      <w:proofErr w:type="spellEnd"/>
      <w:r w:rsidRPr="005B507C">
        <w:t xml:space="preserve"> Egészségügyi Kft. és a </w:t>
      </w:r>
      <w:proofErr w:type="spellStart"/>
      <w:r w:rsidRPr="005B507C">
        <w:t>Medirex</w:t>
      </w:r>
      <w:proofErr w:type="spellEnd"/>
      <w:r w:rsidRPr="005B507C">
        <w:t xml:space="preserve"> Zrt.</w:t>
      </w:r>
      <w:r w:rsidR="00347FE2">
        <w:t xml:space="preserve"> – ugyanakkor a </w:t>
      </w:r>
      <w:r>
        <w:t xml:space="preserve">törvényben biztosított jogorvoslati jogukkal élve megtámadták a GVH határozatát. </w:t>
      </w:r>
      <w:r w:rsidRPr="00B20C58">
        <w:t xml:space="preserve">A bírósági eljárásban a Kúria </w:t>
      </w:r>
      <w:r>
        <w:t xml:space="preserve">megerősítette </w:t>
      </w:r>
      <w:r w:rsidRPr="00B20C58">
        <w:t>a GVH</w:t>
      </w:r>
      <w:r>
        <w:t xml:space="preserve"> </w:t>
      </w:r>
      <w:r w:rsidR="00347FE2">
        <w:t>döntését</w:t>
      </w:r>
      <w:r>
        <w:t xml:space="preserve"> miszerint</w:t>
      </w:r>
      <w:r w:rsidRPr="00B20C58">
        <w:t xml:space="preserve"> a</w:t>
      </w:r>
      <w:r w:rsidR="00C412A2">
        <w:t xml:space="preserve"> tiltott</w:t>
      </w:r>
      <w:r w:rsidRPr="00B20C58">
        <w:t xml:space="preserve"> piacfelosztás</w:t>
      </w:r>
      <w:r w:rsidR="00347FE2">
        <w:t xml:space="preserve">, a </w:t>
      </w:r>
      <w:proofErr w:type="spellStart"/>
      <w:r w:rsidR="00347FE2">
        <w:t>kartellezés</w:t>
      </w:r>
      <w:proofErr w:type="spellEnd"/>
      <w:r w:rsidRPr="00B20C58">
        <w:t xml:space="preserve"> megtörtént</w:t>
      </w:r>
      <w:r w:rsidR="00C412A2">
        <w:t>, így</w:t>
      </w:r>
      <w:r w:rsidRPr="00B20C58">
        <w:t xml:space="preserve"> indokolt a bírság kiszabása, azonban </w:t>
      </w:r>
      <w:r>
        <w:t>ismételt eljárásra kötelezte a Versenyhatóságot</w:t>
      </w:r>
      <w:r w:rsidRPr="00B20C58">
        <w:t>.</w:t>
      </w:r>
    </w:p>
    <w:p w14:paraId="3CC2F9C4" w14:textId="4B40C42F" w:rsidR="006F7942" w:rsidRDefault="004B3741" w:rsidP="009A04CA">
      <w:pPr>
        <w:spacing w:after="120"/>
        <w:ind w:left="0"/>
      </w:pPr>
      <w:r>
        <w:t>A kezdeti védekezést követően a</w:t>
      </w:r>
      <w:r w:rsidR="00347FE2">
        <w:t>z érintett</w:t>
      </w:r>
      <w:r>
        <w:t xml:space="preserve"> cégek</w:t>
      </w:r>
      <w:r w:rsidR="00C412A2">
        <w:t xml:space="preserve"> a megismételt eljárásban</w:t>
      </w:r>
      <w:r w:rsidR="00347FE2">
        <w:t xml:space="preserve"> már</w:t>
      </w:r>
      <w:r>
        <w:t xml:space="preserve"> együttműködést tanúsítottak, nem vitatták a tényállást és a jogorvoslati jogukról is lemondtak. (A jogsértés elismerésére nem volt lehetőségük, hisz azt az alapügy vonatkozásában</w:t>
      </w:r>
      <w:r w:rsidR="00C412A2">
        <w:t xml:space="preserve"> </w:t>
      </w:r>
      <w:r>
        <w:t>a Kúria megerősítette.) Az együttműködésük eredményeként a cégek számottevő bírságcsökkentésben részesültek</w:t>
      </w:r>
      <w:r w:rsidR="006F7942">
        <w:t>.</w:t>
      </w:r>
    </w:p>
    <w:p w14:paraId="4753896F" w14:textId="2F4814D0" w:rsidR="00A87CA5" w:rsidRPr="003A7040" w:rsidRDefault="006F7942" w:rsidP="00A87CA5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>
        <w:t>A GVH Versenytanácsa végül</w:t>
      </w:r>
      <w:r w:rsidR="00347FE2">
        <w:t xml:space="preserve"> összesen</w:t>
      </w:r>
      <w:r w:rsidR="00FD5559">
        <w:t xml:space="preserve"> </w:t>
      </w:r>
      <w:r>
        <w:t>54</w:t>
      </w:r>
      <w:r w:rsidR="00FD5559">
        <w:t>7</w:t>
      </w:r>
      <w:r w:rsidR="00BB2440">
        <w:t>,8</w:t>
      </w:r>
      <w:r>
        <w:t xml:space="preserve"> millió forint bírságot osztott szét a három vállalkozás között</w:t>
      </w:r>
      <w:r w:rsidR="00FD5559">
        <w:t xml:space="preserve"> (</w:t>
      </w:r>
      <w:r w:rsidR="00BB2440">
        <w:t xml:space="preserve">GE Hungary 238,8 M Ft., Premier G. </w:t>
      </w:r>
      <w:proofErr w:type="spellStart"/>
      <w:r w:rsidR="00BB2440">
        <w:t>Med</w:t>
      </w:r>
      <w:proofErr w:type="spellEnd"/>
      <w:r w:rsidR="00BB2440">
        <w:t xml:space="preserve"> 202,3 M Ft., </w:t>
      </w:r>
      <w:proofErr w:type="spellStart"/>
      <w:r w:rsidR="00BB2440">
        <w:t>Medirex</w:t>
      </w:r>
      <w:proofErr w:type="spellEnd"/>
      <w:r w:rsidR="00BB2440">
        <w:t xml:space="preserve"> 106,7 M Ft.)</w:t>
      </w:r>
      <w:r>
        <w:t xml:space="preserve"> A döntéssel az eredeti kartell</w:t>
      </w:r>
      <w:r w:rsidR="00C412A2">
        <w:t>-</w:t>
      </w:r>
      <w:r>
        <w:t>ügy</w:t>
      </w:r>
      <w:r w:rsidR="00C412A2">
        <w:t>ben</w:t>
      </w:r>
      <w:r>
        <w:t xml:space="preserve"> valamennyi bírsággal sújtott vállalkozás együttműködés keretében vállalta a bírság befizetését a központi költségvetés</w:t>
      </w:r>
      <w:r w:rsidR="003149D0">
        <w:t xml:space="preserve"> bírság számlájára</w:t>
      </w:r>
      <w:r w:rsidRPr="00A87CA5">
        <w:rPr>
          <w:b/>
          <w:bCs/>
        </w:rPr>
        <w:t>.</w:t>
      </w:r>
      <w:r w:rsidR="00A87CA5" w:rsidRPr="00A87CA5">
        <w:rPr>
          <w:b/>
          <w:bCs/>
        </w:rPr>
        <w:t xml:space="preserve"> </w:t>
      </w:r>
      <w:r w:rsidR="00A87CA5" w:rsidRPr="003A7040">
        <w:rPr>
          <w:rStyle w:val="Kiemels2"/>
          <w:rFonts w:eastAsiaTheme="majorEastAsia"/>
        </w:rPr>
        <w:t xml:space="preserve">Így a GVH döntései összesen – a már korábban befizetett bírságokkal együtt – több mint </w:t>
      </w:r>
      <w:r w:rsidR="003149D0" w:rsidRPr="003A7040">
        <w:rPr>
          <w:rStyle w:val="Kiemels2"/>
          <w:rFonts w:eastAsiaTheme="majorEastAsia"/>
        </w:rPr>
        <w:t xml:space="preserve">1,4 milliárd forint (egész pontosan </w:t>
      </w:r>
      <w:r w:rsidR="00A87CA5" w:rsidRPr="003A7040">
        <w:rPr>
          <w:rStyle w:val="Kiemels2"/>
          <w:rFonts w:eastAsiaTheme="majorEastAsia"/>
        </w:rPr>
        <w:t>1</w:t>
      </w:r>
      <w:r w:rsidR="003149D0" w:rsidRPr="003A7040">
        <w:rPr>
          <w:rStyle w:val="Kiemels2"/>
          <w:rFonts w:eastAsiaTheme="majorEastAsia"/>
        </w:rPr>
        <w:t> </w:t>
      </w:r>
      <w:r w:rsidR="00A87CA5" w:rsidRPr="003A7040">
        <w:rPr>
          <w:rStyle w:val="Kiemels2"/>
          <w:rFonts w:eastAsiaTheme="majorEastAsia"/>
        </w:rPr>
        <w:t>4</w:t>
      </w:r>
      <w:r w:rsidR="003149D0" w:rsidRPr="003A7040">
        <w:rPr>
          <w:rStyle w:val="Kiemels2"/>
          <w:rFonts w:eastAsiaTheme="majorEastAsia"/>
        </w:rPr>
        <w:t>08 800 000,- Ft)</w:t>
      </w:r>
      <w:r w:rsidR="00A87CA5" w:rsidRPr="003A7040">
        <w:rPr>
          <w:rStyle w:val="Kiemels2"/>
          <w:rFonts w:eastAsiaTheme="majorEastAsia"/>
        </w:rPr>
        <w:t xml:space="preserve"> bevételt jelentenek a központi költségvetésnek.</w:t>
      </w:r>
    </w:p>
    <w:p w14:paraId="5C59DF0A" w14:textId="726D966F" w:rsidR="006F7942" w:rsidRPr="003A7040" w:rsidRDefault="006F7942" w:rsidP="009A04CA">
      <w:pPr>
        <w:spacing w:after="120"/>
        <w:ind w:left="0"/>
        <w:rPr>
          <w:b/>
          <w:bCs/>
        </w:rPr>
      </w:pPr>
      <w:r>
        <w:t xml:space="preserve">Az ügy kapcsán a Gazdasági Versenyhivatal ismét felhívja a vállalkozások figyelmét, hogy megéri együttműködni a nemzeti versenyhatósággal. A GVH – a versenytörvényben foglaltaknak megfelelően – számos együttműködési lehetőséget biztosít a cégek számára, mind fogyasztóvédelmi, mind versenyjogi ügyek esetében. </w:t>
      </w:r>
      <w:r w:rsidRPr="003A7040">
        <w:rPr>
          <w:b/>
          <w:bCs/>
        </w:rPr>
        <w:t>A megfelelő együttműködési formák kiválasztásával jelentősen csökkenthető a kiszabott bírság és akár teljesen el is kerülhető a pénzbeli szankció</w:t>
      </w:r>
      <w:r w:rsidR="00253BD3" w:rsidRPr="003A7040">
        <w:rPr>
          <w:b/>
          <w:bCs/>
        </w:rPr>
        <w:t>, illetve jelentősen csökkenthető az ügyek időbeli, akár években mérhető elhúzódása.</w:t>
      </w:r>
    </w:p>
    <w:p w14:paraId="41FB4D55" w14:textId="27BFA813" w:rsidR="006F7942" w:rsidRDefault="006F7942" w:rsidP="009A04CA">
      <w:pPr>
        <w:spacing w:after="120"/>
        <w:ind w:left="0"/>
      </w:pPr>
      <w:r>
        <w:t xml:space="preserve">A GVH-val történő együttműködési lehetőségek feltételei, részletei és az együttműködéseken keresztül kapható engedmények elérhetők a </w:t>
      </w:r>
      <w:hyperlink r:id="rId9" w:history="1">
        <w:r>
          <w:rPr>
            <w:rStyle w:val="Hiperhivatkozs"/>
            <w:rFonts w:eastAsiaTheme="majorEastAsia"/>
          </w:rPr>
          <w:t>GHV honlapján</w:t>
        </w:r>
      </w:hyperlink>
      <w:r>
        <w:rPr>
          <w:color w:val="0000FF"/>
          <w:u w:val="single"/>
        </w:rPr>
        <w:t>.</w:t>
      </w:r>
    </w:p>
    <w:p w14:paraId="498DB921" w14:textId="7B533D56" w:rsidR="009A04CA" w:rsidRDefault="009A04CA" w:rsidP="009A04CA">
      <w:pPr>
        <w:spacing w:after="120"/>
        <w:ind w:left="0"/>
        <w:rPr>
          <w:b/>
          <w:bCs/>
        </w:rPr>
      </w:pPr>
      <w:r>
        <w:t xml:space="preserve">Az ügy hivatali nyilvántartási száma: </w:t>
      </w:r>
      <w:r w:rsidRPr="009A04CA">
        <w:rPr>
          <w:b/>
          <w:bCs/>
        </w:rPr>
        <w:t>VJ/</w:t>
      </w:r>
      <w:r w:rsidR="00B20C58">
        <w:rPr>
          <w:b/>
          <w:bCs/>
        </w:rPr>
        <w:t>34</w:t>
      </w:r>
      <w:r w:rsidRPr="009A04CA">
        <w:rPr>
          <w:b/>
          <w:bCs/>
        </w:rPr>
        <w:t>/202</w:t>
      </w:r>
      <w:r w:rsidR="006F7942">
        <w:rPr>
          <w:b/>
          <w:bCs/>
        </w:rPr>
        <w:t>3.</w:t>
      </w:r>
    </w:p>
    <w:p w14:paraId="45733F46" w14:textId="1470A1FF" w:rsidR="005F4F3F" w:rsidRPr="00314723" w:rsidRDefault="005F4F3F" w:rsidP="009A04CA">
      <w:pPr>
        <w:spacing w:after="12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6F7942">
        <w:rPr>
          <w:b/>
          <w:bCs/>
        </w:rPr>
        <w:t>Kommunikáció</w:t>
      </w:r>
    </w:p>
    <w:p w14:paraId="714F28A8" w14:textId="77777777" w:rsidR="005F4F3F" w:rsidRPr="00314723" w:rsidRDefault="005F4F3F" w:rsidP="00B64C00">
      <w:pPr>
        <w:spacing w:after="0"/>
        <w:ind w:left="0"/>
      </w:pPr>
      <w:r w:rsidRPr="00314723">
        <w:lastRenderedPageBreak/>
        <w:t>További információ:</w:t>
      </w:r>
    </w:p>
    <w:p w14:paraId="04D7B922" w14:textId="77777777" w:rsidR="005F4F3F" w:rsidRPr="00314723" w:rsidRDefault="005F4F3F" w:rsidP="00B64C00">
      <w:pPr>
        <w:spacing w:after="0"/>
        <w:ind w:left="0"/>
      </w:pPr>
      <w:r w:rsidRPr="00314723">
        <w:t>Horváth Bálint, kommunikációs vezető +36 20 238 6939</w:t>
      </w:r>
    </w:p>
    <w:p w14:paraId="4198A9CE" w14:textId="51E5458E" w:rsidR="002A426E" w:rsidRDefault="005F4F3F" w:rsidP="00C25E2F">
      <w:pPr>
        <w:spacing w:after="0"/>
        <w:ind w:left="0"/>
      </w:pPr>
      <w:r w:rsidRPr="00314723">
        <w:t>Gondolovics Katalin, sajtószóvivő +36 30 603 1170</w:t>
      </w:r>
    </w:p>
    <w:sectPr w:rsidR="002A426E" w:rsidSect="00BB24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6B854" w14:textId="77777777" w:rsidR="00131DE0" w:rsidRDefault="00131DE0">
      <w:pPr>
        <w:spacing w:after="0" w:line="240" w:lineRule="auto"/>
      </w:pPr>
      <w:r>
        <w:separator/>
      </w:r>
    </w:p>
  </w:endnote>
  <w:endnote w:type="continuationSeparator" w:id="0">
    <w:p w14:paraId="2BA60058" w14:textId="77777777" w:rsidR="00131DE0" w:rsidRDefault="0013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1C0D3" w14:textId="77777777" w:rsidR="00131DE0" w:rsidRDefault="00131DE0">
      <w:pPr>
        <w:spacing w:after="0" w:line="240" w:lineRule="auto"/>
      </w:pPr>
      <w:r>
        <w:separator/>
      </w:r>
    </w:p>
  </w:footnote>
  <w:footnote w:type="continuationSeparator" w:id="0">
    <w:p w14:paraId="036CD598" w14:textId="77777777" w:rsidR="00131DE0" w:rsidRDefault="0013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7315C"/>
    <w:multiLevelType w:val="hybridMultilevel"/>
    <w:tmpl w:val="97786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296666C1"/>
    <w:multiLevelType w:val="hybridMultilevel"/>
    <w:tmpl w:val="87289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3"/>
  </w:num>
  <w:num w:numId="2" w16cid:durableId="1174959768">
    <w:abstractNumId w:val="4"/>
  </w:num>
  <w:num w:numId="3" w16cid:durableId="885722583">
    <w:abstractNumId w:val="1"/>
  </w:num>
  <w:num w:numId="4" w16cid:durableId="1422945301">
    <w:abstractNumId w:val="2"/>
  </w:num>
  <w:num w:numId="5" w16cid:durableId="56186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0D93"/>
    <w:rsid w:val="00002DFE"/>
    <w:rsid w:val="00010AF1"/>
    <w:rsid w:val="0001164D"/>
    <w:rsid w:val="00011AF6"/>
    <w:rsid w:val="00014ECD"/>
    <w:rsid w:val="00017EB5"/>
    <w:rsid w:val="00025546"/>
    <w:rsid w:val="00025D9D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937F6"/>
    <w:rsid w:val="000C7EC0"/>
    <w:rsid w:val="000D0161"/>
    <w:rsid w:val="000E4B77"/>
    <w:rsid w:val="000E7621"/>
    <w:rsid w:val="000F61B5"/>
    <w:rsid w:val="0010779E"/>
    <w:rsid w:val="00124D6C"/>
    <w:rsid w:val="00131DE0"/>
    <w:rsid w:val="00134827"/>
    <w:rsid w:val="00183194"/>
    <w:rsid w:val="001A32A4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3BD3"/>
    <w:rsid w:val="0025537B"/>
    <w:rsid w:val="002574F3"/>
    <w:rsid w:val="002732CD"/>
    <w:rsid w:val="002734A3"/>
    <w:rsid w:val="002756CF"/>
    <w:rsid w:val="00292199"/>
    <w:rsid w:val="00293E97"/>
    <w:rsid w:val="002A0E05"/>
    <w:rsid w:val="002A426E"/>
    <w:rsid w:val="002B260B"/>
    <w:rsid w:val="002B508F"/>
    <w:rsid w:val="002B5D44"/>
    <w:rsid w:val="002B7F2B"/>
    <w:rsid w:val="002C122C"/>
    <w:rsid w:val="002C712D"/>
    <w:rsid w:val="002F3FE3"/>
    <w:rsid w:val="003149D0"/>
    <w:rsid w:val="00321653"/>
    <w:rsid w:val="00325F58"/>
    <w:rsid w:val="003303E4"/>
    <w:rsid w:val="00333E7D"/>
    <w:rsid w:val="00344131"/>
    <w:rsid w:val="00347FE2"/>
    <w:rsid w:val="00351FB1"/>
    <w:rsid w:val="00356D88"/>
    <w:rsid w:val="00361831"/>
    <w:rsid w:val="003808BC"/>
    <w:rsid w:val="00382160"/>
    <w:rsid w:val="003946C2"/>
    <w:rsid w:val="00395276"/>
    <w:rsid w:val="003A7040"/>
    <w:rsid w:val="003C30B9"/>
    <w:rsid w:val="003C51E4"/>
    <w:rsid w:val="003D1817"/>
    <w:rsid w:val="003E0148"/>
    <w:rsid w:val="003E675C"/>
    <w:rsid w:val="00401C7C"/>
    <w:rsid w:val="0042172B"/>
    <w:rsid w:val="00424B8A"/>
    <w:rsid w:val="00430D05"/>
    <w:rsid w:val="00431C0D"/>
    <w:rsid w:val="004545F8"/>
    <w:rsid w:val="00454D0A"/>
    <w:rsid w:val="00485F3F"/>
    <w:rsid w:val="00491BFC"/>
    <w:rsid w:val="00492DFC"/>
    <w:rsid w:val="0049629F"/>
    <w:rsid w:val="00497F9C"/>
    <w:rsid w:val="004A4246"/>
    <w:rsid w:val="004B1EC2"/>
    <w:rsid w:val="004B3741"/>
    <w:rsid w:val="004B6ED3"/>
    <w:rsid w:val="004C0406"/>
    <w:rsid w:val="004C1A81"/>
    <w:rsid w:val="004C2DF9"/>
    <w:rsid w:val="004E3890"/>
    <w:rsid w:val="00511737"/>
    <w:rsid w:val="00515173"/>
    <w:rsid w:val="00523A87"/>
    <w:rsid w:val="00535A11"/>
    <w:rsid w:val="00545903"/>
    <w:rsid w:val="00550820"/>
    <w:rsid w:val="005566B7"/>
    <w:rsid w:val="005742EB"/>
    <w:rsid w:val="00574344"/>
    <w:rsid w:val="0059758B"/>
    <w:rsid w:val="005A068C"/>
    <w:rsid w:val="005A20C2"/>
    <w:rsid w:val="005A384B"/>
    <w:rsid w:val="005A4856"/>
    <w:rsid w:val="005A587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536AE"/>
    <w:rsid w:val="00694570"/>
    <w:rsid w:val="006A5FD1"/>
    <w:rsid w:val="006C7EAF"/>
    <w:rsid w:val="006D0F58"/>
    <w:rsid w:val="006D69E6"/>
    <w:rsid w:val="006D7040"/>
    <w:rsid w:val="006D7D61"/>
    <w:rsid w:val="006E2040"/>
    <w:rsid w:val="006F7942"/>
    <w:rsid w:val="00713098"/>
    <w:rsid w:val="007211D2"/>
    <w:rsid w:val="007232F7"/>
    <w:rsid w:val="00736F52"/>
    <w:rsid w:val="0077091C"/>
    <w:rsid w:val="00772645"/>
    <w:rsid w:val="00781D29"/>
    <w:rsid w:val="007834ED"/>
    <w:rsid w:val="007863D5"/>
    <w:rsid w:val="00787303"/>
    <w:rsid w:val="00795618"/>
    <w:rsid w:val="007C3D7E"/>
    <w:rsid w:val="007C504C"/>
    <w:rsid w:val="007C7270"/>
    <w:rsid w:val="007E33B9"/>
    <w:rsid w:val="007F49A6"/>
    <w:rsid w:val="007F6DDC"/>
    <w:rsid w:val="00821F1C"/>
    <w:rsid w:val="0082317E"/>
    <w:rsid w:val="008302EE"/>
    <w:rsid w:val="00835621"/>
    <w:rsid w:val="00835934"/>
    <w:rsid w:val="00847363"/>
    <w:rsid w:val="00861DEF"/>
    <w:rsid w:val="00874C88"/>
    <w:rsid w:val="00877E47"/>
    <w:rsid w:val="008857DA"/>
    <w:rsid w:val="00886B5A"/>
    <w:rsid w:val="00890898"/>
    <w:rsid w:val="008927DB"/>
    <w:rsid w:val="008A0CAC"/>
    <w:rsid w:val="008A4731"/>
    <w:rsid w:val="008B3221"/>
    <w:rsid w:val="008B64CF"/>
    <w:rsid w:val="008B7C72"/>
    <w:rsid w:val="008C44CC"/>
    <w:rsid w:val="008D1DAB"/>
    <w:rsid w:val="008D46FA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37D"/>
    <w:rsid w:val="00933AD1"/>
    <w:rsid w:val="00972CA9"/>
    <w:rsid w:val="0097359E"/>
    <w:rsid w:val="00981225"/>
    <w:rsid w:val="00987D35"/>
    <w:rsid w:val="00990119"/>
    <w:rsid w:val="00990458"/>
    <w:rsid w:val="009A04CA"/>
    <w:rsid w:val="009D3093"/>
    <w:rsid w:val="009E148C"/>
    <w:rsid w:val="009E435B"/>
    <w:rsid w:val="009E5F6C"/>
    <w:rsid w:val="009E79B3"/>
    <w:rsid w:val="009F2C39"/>
    <w:rsid w:val="00A06E05"/>
    <w:rsid w:val="00A14019"/>
    <w:rsid w:val="00A16002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87CA5"/>
    <w:rsid w:val="00A909A2"/>
    <w:rsid w:val="00A92213"/>
    <w:rsid w:val="00A96E66"/>
    <w:rsid w:val="00AA6196"/>
    <w:rsid w:val="00AB0A77"/>
    <w:rsid w:val="00AB2016"/>
    <w:rsid w:val="00AB5D6E"/>
    <w:rsid w:val="00AD2D5E"/>
    <w:rsid w:val="00AE0C35"/>
    <w:rsid w:val="00AE316E"/>
    <w:rsid w:val="00AE40D6"/>
    <w:rsid w:val="00AF20CE"/>
    <w:rsid w:val="00AF45D3"/>
    <w:rsid w:val="00B02F46"/>
    <w:rsid w:val="00B056E2"/>
    <w:rsid w:val="00B0747E"/>
    <w:rsid w:val="00B20C58"/>
    <w:rsid w:val="00B3311F"/>
    <w:rsid w:val="00B35B5C"/>
    <w:rsid w:val="00B40517"/>
    <w:rsid w:val="00B61F88"/>
    <w:rsid w:val="00B6413F"/>
    <w:rsid w:val="00B64C00"/>
    <w:rsid w:val="00B70E7E"/>
    <w:rsid w:val="00B90563"/>
    <w:rsid w:val="00B97771"/>
    <w:rsid w:val="00BB087E"/>
    <w:rsid w:val="00BB116D"/>
    <w:rsid w:val="00BB2440"/>
    <w:rsid w:val="00BC3402"/>
    <w:rsid w:val="00BC70D9"/>
    <w:rsid w:val="00BD6A36"/>
    <w:rsid w:val="00BD7179"/>
    <w:rsid w:val="00C02C4E"/>
    <w:rsid w:val="00C03174"/>
    <w:rsid w:val="00C03824"/>
    <w:rsid w:val="00C07C0E"/>
    <w:rsid w:val="00C21B3F"/>
    <w:rsid w:val="00C248A0"/>
    <w:rsid w:val="00C25E2F"/>
    <w:rsid w:val="00C412A2"/>
    <w:rsid w:val="00C540F9"/>
    <w:rsid w:val="00C55449"/>
    <w:rsid w:val="00C56CD6"/>
    <w:rsid w:val="00C61673"/>
    <w:rsid w:val="00C64636"/>
    <w:rsid w:val="00C731E1"/>
    <w:rsid w:val="00C82749"/>
    <w:rsid w:val="00C836BD"/>
    <w:rsid w:val="00C87708"/>
    <w:rsid w:val="00CA2EBA"/>
    <w:rsid w:val="00CA56C7"/>
    <w:rsid w:val="00CD63D8"/>
    <w:rsid w:val="00CE27A3"/>
    <w:rsid w:val="00CF0B45"/>
    <w:rsid w:val="00D12454"/>
    <w:rsid w:val="00D12884"/>
    <w:rsid w:val="00D31443"/>
    <w:rsid w:val="00D900B8"/>
    <w:rsid w:val="00D949AD"/>
    <w:rsid w:val="00D960D0"/>
    <w:rsid w:val="00DB5643"/>
    <w:rsid w:val="00DB6ED6"/>
    <w:rsid w:val="00DC389D"/>
    <w:rsid w:val="00DC6E83"/>
    <w:rsid w:val="00DC752D"/>
    <w:rsid w:val="00DF52DC"/>
    <w:rsid w:val="00E044AF"/>
    <w:rsid w:val="00E36C8E"/>
    <w:rsid w:val="00E45607"/>
    <w:rsid w:val="00E665BD"/>
    <w:rsid w:val="00E87D38"/>
    <w:rsid w:val="00EA233F"/>
    <w:rsid w:val="00EA31B0"/>
    <w:rsid w:val="00EA454A"/>
    <w:rsid w:val="00EA7FA0"/>
    <w:rsid w:val="00EC1924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C5159"/>
    <w:rsid w:val="00FD1928"/>
    <w:rsid w:val="00FD31ED"/>
    <w:rsid w:val="00FD5559"/>
    <w:rsid w:val="00FE5D23"/>
    <w:rsid w:val="00FE6CB9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0-as-sajtokozlemenyek/1-6-milliard-forintos-birsag-kepalkoto-diagnosztikai-eszkozokkel-kapcsolatos-kozbeszerzesi-eljarasokban-torteno-osszejatszase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vallalkozasoknak/eljaras-ala-vonta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5</cp:revision>
  <dcterms:created xsi:type="dcterms:W3CDTF">2025-07-31T12:24:00Z</dcterms:created>
  <dcterms:modified xsi:type="dcterms:W3CDTF">2025-08-01T07:06:00Z</dcterms:modified>
</cp:coreProperties>
</file>