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50F0C" w14:textId="2DE98F2A" w:rsidR="006F70D4" w:rsidRDefault="00661C26" w:rsidP="009230DF">
      <w:pPr>
        <w:spacing w:after="120" w:line="264" w:lineRule="auto"/>
        <w:ind w:left="-454" w:right="-454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Megvilágosodott a </w:t>
      </w:r>
      <w:r w:rsidR="00F9796B">
        <w:rPr>
          <w:rFonts w:eastAsiaTheme="minorHAnsi"/>
          <w:b/>
          <w:bCs/>
          <w:sz w:val="28"/>
          <w:szCs w:val="28"/>
          <w:lang w:eastAsia="en-US"/>
        </w:rPr>
        <w:t>lámpakereskedő, jelentős bírságcsökkentés</w:t>
      </w:r>
      <w:r>
        <w:rPr>
          <w:rFonts w:eastAsiaTheme="minorHAnsi"/>
          <w:b/>
          <w:bCs/>
          <w:sz w:val="28"/>
          <w:szCs w:val="28"/>
          <w:lang w:eastAsia="en-US"/>
        </w:rPr>
        <w:t>t kapott a GVH-tól</w:t>
      </w:r>
    </w:p>
    <w:p w14:paraId="0FAAE643" w14:textId="7199AC9F" w:rsidR="00785C74" w:rsidRDefault="00F9796B" w:rsidP="009230DF">
      <w:pPr>
        <w:spacing w:after="120" w:line="264" w:lineRule="auto"/>
        <w:ind w:left="-454" w:right="-454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Reflektorfényben a GVH együttműködési lehetőségei</w:t>
      </w:r>
    </w:p>
    <w:p w14:paraId="63162723" w14:textId="2DADBA75" w:rsidR="006F70D4" w:rsidRPr="006F70D4" w:rsidRDefault="00A77466" w:rsidP="009230DF">
      <w:pPr>
        <w:spacing w:after="120" w:line="264" w:lineRule="auto"/>
        <w:ind w:left="-454" w:right="-454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Budapest, 202</w:t>
      </w:r>
      <w:r w:rsidR="00F9796B">
        <w:rPr>
          <w:rFonts w:eastAsiaTheme="minorHAnsi"/>
          <w:b/>
          <w:bCs/>
          <w:lang w:eastAsia="en-US"/>
        </w:rPr>
        <w:t>5</w:t>
      </w:r>
      <w:r>
        <w:rPr>
          <w:rFonts w:eastAsiaTheme="minorHAnsi"/>
          <w:b/>
          <w:bCs/>
          <w:lang w:eastAsia="en-US"/>
        </w:rPr>
        <w:t xml:space="preserve">. </w:t>
      </w:r>
      <w:r w:rsidR="00F9796B">
        <w:rPr>
          <w:rFonts w:eastAsiaTheme="minorHAnsi"/>
          <w:b/>
          <w:bCs/>
          <w:lang w:eastAsia="en-US"/>
        </w:rPr>
        <w:t>jú</w:t>
      </w:r>
      <w:r w:rsidR="006C7064">
        <w:rPr>
          <w:rFonts w:eastAsiaTheme="minorHAnsi"/>
          <w:b/>
          <w:bCs/>
          <w:lang w:eastAsia="en-US"/>
        </w:rPr>
        <w:t>l</w:t>
      </w:r>
      <w:r w:rsidR="00F9796B">
        <w:rPr>
          <w:rFonts w:eastAsiaTheme="minorHAnsi"/>
          <w:b/>
          <w:bCs/>
          <w:lang w:eastAsia="en-US"/>
        </w:rPr>
        <w:t>ius</w:t>
      </w:r>
      <w:r w:rsidR="00C467E5">
        <w:rPr>
          <w:rFonts w:eastAsiaTheme="minorHAnsi"/>
          <w:b/>
          <w:bCs/>
          <w:lang w:eastAsia="en-US"/>
        </w:rPr>
        <w:t xml:space="preserve"> </w:t>
      </w:r>
      <w:r w:rsidR="00516B24">
        <w:rPr>
          <w:rFonts w:eastAsiaTheme="minorHAnsi"/>
          <w:b/>
          <w:bCs/>
          <w:lang w:eastAsia="en-US"/>
        </w:rPr>
        <w:t>9</w:t>
      </w:r>
      <w:r w:rsidR="00A4311A">
        <w:rPr>
          <w:rFonts w:eastAsiaTheme="minorHAnsi"/>
          <w:b/>
          <w:bCs/>
          <w:lang w:eastAsia="en-US"/>
        </w:rPr>
        <w:t>.</w:t>
      </w:r>
      <w:r>
        <w:rPr>
          <w:rFonts w:eastAsiaTheme="minorHAnsi"/>
          <w:b/>
          <w:bCs/>
          <w:lang w:eastAsia="en-US"/>
        </w:rPr>
        <w:t xml:space="preserve"> – </w:t>
      </w:r>
      <w:r w:rsidR="00F9796B">
        <w:rPr>
          <w:rFonts w:eastAsiaTheme="minorHAnsi"/>
          <w:b/>
          <w:bCs/>
          <w:lang w:eastAsia="en-US"/>
        </w:rPr>
        <w:t>13,5 millió forintra bírságolta a G</w:t>
      </w:r>
      <w:r w:rsidR="00661C26">
        <w:rPr>
          <w:rFonts w:eastAsiaTheme="minorHAnsi"/>
          <w:b/>
          <w:bCs/>
          <w:lang w:eastAsia="en-US"/>
        </w:rPr>
        <w:t>azdasági Versenyhivatal (GVH)</w:t>
      </w:r>
      <w:r w:rsidR="00F9796B">
        <w:rPr>
          <w:rFonts w:eastAsiaTheme="minorHAnsi"/>
          <w:b/>
          <w:bCs/>
          <w:lang w:eastAsia="en-US"/>
        </w:rPr>
        <w:t xml:space="preserve"> Versenytanácsa a Lutec lámpakereskedő céget, mivel a </w:t>
      </w:r>
      <w:r w:rsidR="00E7724B" w:rsidRPr="00E7724B">
        <w:rPr>
          <w:rFonts w:eastAsiaTheme="minorHAnsi"/>
          <w:b/>
          <w:bCs/>
          <w:lang w:eastAsia="en-US"/>
        </w:rPr>
        <w:t>specializált szakkereskedők részére történő</w:t>
      </w:r>
      <w:r w:rsidR="00B95D88">
        <w:rPr>
          <w:rFonts w:eastAsiaTheme="minorHAnsi"/>
          <w:b/>
          <w:bCs/>
          <w:lang w:eastAsia="en-US"/>
        </w:rPr>
        <w:t xml:space="preserve"> forgalmazása során meghatározta a fogyasztói árakat, sőt szankciók</w:t>
      </w:r>
      <w:r w:rsidR="00E143F7">
        <w:rPr>
          <w:rFonts w:eastAsiaTheme="minorHAnsi"/>
          <w:b/>
          <w:bCs/>
          <w:lang w:eastAsia="en-US"/>
        </w:rPr>
        <w:t xml:space="preserve"> </w:t>
      </w:r>
      <w:r w:rsidR="00B95D88">
        <w:rPr>
          <w:rFonts w:eastAsiaTheme="minorHAnsi"/>
          <w:b/>
          <w:bCs/>
          <w:lang w:eastAsia="en-US"/>
        </w:rPr>
        <w:t>alkalmaz</w:t>
      </w:r>
      <w:r w:rsidR="00E143F7">
        <w:rPr>
          <w:rFonts w:eastAsiaTheme="minorHAnsi"/>
          <w:b/>
          <w:bCs/>
          <w:lang w:eastAsia="en-US"/>
        </w:rPr>
        <w:t>ását is kilátásba helyezte</w:t>
      </w:r>
      <w:r w:rsidR="00B95D88">
        <w:rPr>
          <w:rFonts w:eastAsiaTheme="minorHAnsi"/>
          <w:b/>
          <w:bCs/>
          <w:lang w:eastAsia="en-US"/>
        </w:rPr>
        <w:t>, amennyiben azokat egy vállalkozás nem alkalmazta. A cég</w:t>
      </w:r>
      <w:r w:rsidR="00661C26">
        <w:rPr>
          <w:rFonts w:eastAsiaTheme="minorHAnsi"/>
          <w:b/>
          <w:bCs/>
          <w:lang w:eastAsia="en-US"/>
        </w:rPr>
        <w:t xml:space="preserve"> az eljárás során</w:t>
      </w:r>
      <w:r w:rsidR="00B95D88">
        <w:rPr>
          <w:rFonts w:eastAsiaTheme="minorHAnsi"/>
          <w:b/>
          <w:bCs/>
          <w:lang w:eastAsia="en-US"/>
        </w:rPr>
        <w:t xml:space="preserve"> végig együttműködött a GVH-val, </w:t>
      </w:r>
      <w:r w:rsidR="00661C26">
        <w:rPr>
          <w:rFonts w:eastAsiaTheme="minorHAnsi"/>
          <w:b/>
          <w:bCs/>
          <w:lang w:eastAsia="en-US"/>
        </w:rPr>
        <w:t>el</w:t>
      </w:r>
      <w:r w:rsidR="00B95D88">
        <w:rPr>
          <w:rFonts w:eastAsiaTheme="minorHAnsi"/>
          <w:b/>
          <w:bCs/>
          <w:lang w:eastAsia="en-US"/>
        </w:rPr>
        <w:t>ismerte a jogsértést és megfelelési program végrehajtását is vállalta, így</w:t>
      </w:r>
      <w:r w:rsidR="00661C26">
        <w:rPr>
          <w:rFonts w:eastAsiaTheme="minorHAnsi"/>
          <w:b/>
          <w:bCs/>
          <w:lang w:eastAsia="en-US"/>
        </w:rPr>
        <w:t xml:space="preserve"> végül</w:t>
      </w:r>
      <w:r w:rsidR="00B95D88">
        <w:rPr>
          <w:rFonts w:eastAsiaTheme="minorHAnsi"/>
          <w:b/>
          <w:bCs/>
          <w:lang w:eastAsia="en-US"/>
        </w:rPr>
        <w:t xml:space="preserve"> jelentős bírságcsökkentésben részesült.</w:t>
      </w:r>
    </w:p>
    <w:p w14:paraId="2E6D09A4" w14:textId="0FDC4A3D" w:rsidR="00B6638E" w:rsidRDefault="00F31382" w:rsidP="009230DF">
      <w:pPr>
        <w:spacing w:after="120" w:line="264" w:lineRule="auto"/>
        <w:ind w:left="-454" w:right="-45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A Gazdasági Versenyhivatal </w:t>
      </w:r>
      <w:r w:rsidR="006215AF">
        <w:rPr>
          <w:rFonts w:eastAsiaTheme="minorHAnsi"/>
          <w:lang w:eastAsia="en-US"/>
        </w:rPr>
        <w:t xml:space="preserve">lezárta eljárását a </w:t>
      </w:r>
      <w:r w:rsidR="006215AF" w:rsidRPr="006215AF">
        <w:rPr>
          <w:rFonts w:eastAsiaTheme="minorHAnsi"/>
          <w:lang w:eastAsia="en-US"/>
        </w:rPr>
        <w:t>Lutec Lighting Kereskedelmi és Szolgáltató Kft.</w:t>
      </w:r>
      <w:r w:rsidR="006215AF">
        <w:rPr>
          <w:rFonts w:eastAsiaTheme="minorHAnsi"/>
          <w:lang w:eastAsia="en-US"/>
        </w:rPr>
        <w:t>-vel szemben</w:t>
      </w:r>
      <w:r w:rsidR="00DA6E97">
        <w:rPr>
          <w:rFonts w:eastAsiaTheme="minorHAnsi"/>
          <w:lang w:eastAsia="en-US"/>
        </w:rPr>
        <w:t xml:space="preserve">, </w:t>
      </w:r>
      <w:r w:rsidR="006C7064">
        <w:rPr>
          <w:rFonts w:eastAsiaTheme="minorHAnsi"/>
          <w:lang w:eastAsia="en-US"/>
        </w:rPr>
        <w:t>a</w:t>
      </w:r>
      <w:r w:rsidR="00DA6E97">
        <w:rPr>
          <w:rFonts w:eastAsiaTheme="minorHAnsi"/>
          <w:lang w:eastAsia="en-US"/>
        </w:rPr>
        <w:t xml:space="preserve">melyben </w:t>
      </w:r>
      <w:r w:rsidR="006215AF">
        <w:rPr>
          <w:rFonts w:eastAsiaTheme="minorHAnsi"/>
          <w:lang w:eastAsia="en-US"/>
        </w:rPr>
        <w:t>feltárta, hogy a cég egyes lámpatestek hazai szakkereskedők részére történő nagykereskedelmi értékesítése során meghatározta, hogy a szakkereskedők milyen áron értékesíthetik azokat tovább a fogyasztók számára.</w:t>
      </w:r>
    </w:p>
    <w:p w14:paraId="3423576D" w14:textId="68C469C6" w:rsidR="006215AF" w:rsidRPr="00661C26" w:rsidRDefault="006215AF" w:rsidP="009230DF">
      <w:pPr>
        <w:spacing w:after="120" w:line="264" w:lineRule="auto"/>
        <w:ind w:left="-454" w:right="-454"/>
      </w:pPr>
      <w:r>
        <w:rPr>
          <w:rFonts w:eastAsiaTheme="minorHAnsi"/>
          <w:lang w:eastAsia="en-US"/>
        </w:rPr>
        <w:t xml:space="preserve">Az ún. </w:t>
      </w:r>
      <w:r w:rsidR="00470476">
        <w:t xml:space="preserve">viszonteladási </w:t>
      </w:r>
      <w:r>
        <w:rPr>
          <w:rFonts w:eastAsiaTheme="minorHAnsi"/>
          <w:lang w:eastAsia="en-US"/>
        </w:rPr>
        <w:t xml:space="preserve">ármegkötés jelentős versenykorlátozó </w:t>
      </w:r>
      <w:r w:rsidR="00421E3F">
        <w:rPr>
          <w:rFonts w:eastAsiaTheme="minorHAnsi"/>
          <w:lang w:eastAsia="en-US"/>
        </w:rPr>
        <w:t>magatartásnak</w:t>
      </w:r>
      <w:r>
        <w:rPr>
          <w:rFonts w:eastAsiaTheme="minorHAnsi"/>
          <w:lang w:eastAsia="en-US"/>
        </w:rPr>
        <w:t xml:space="preserve">, így súlyos jogsértésnek minősül. A Lutec fentebbi gyakorlatát súlyosbította, hogy a vállalkozás aktív lépéseket </w:t>
      </w:r>
      <w:r w:rsidR="004E0884">
        <w:rPr>
          <w:rFonts w:eastAsiaTheme="minorHAnsi"/>
          <w:lang w:eastAsia="en-US"/>
        </w:rPr>
        <w:t>tett az általa „ajánlott” árak kikényszerítésére, például a szállítás megtagadásá</w:t>
      </w:r>
      <w:r w:rsidR="0064186F">
        <w:rPr>
          <w:rFonts w:eastAsiaTheme="minorHAnsi"/>
          <w:lang w:eastAsia="en-US"/>
        </w:rPr>
        <w:t>nak kilátásba helyezésé</w:t>
      </w:r>
      <w:r w:rsidR="004E0884">
        <w:rPr>
          <w:rFonts w:eastAsiaTheme="minorHAnsi"/>
          <w:lang w:eastAsia="en-US"/>
        </w:rPr>
        <w:t>v</w:t>
      </w:r>
      <w:r w:rsidR="0064186F">
        <w:rPr>
          <w:rFonts w:eastAsiaTheme="minorHAnsi"/>
          <w:lang w:eastAsia="en-US"/>
        </w:rPr>
        <w:t>e</w:t>
      </w:r>
      <w:r w:rsidR="004E0884">
        <w:rPr>
          <w:rFonts w:eastAsiaTheme="minorHAnsi"/>
          <w:lang w:eastAsia="en-US"/>
        </w:rPr>
        <w:t xml:space="preserve">l, amennyiben egy viszonteladó eltérő árakat alkalmazott. A GVH felhívja a vállalkozások figyelmét, hogy </w:t>
      </w:r>
      <w:r w:rsidR="004E0884" w:rsidRPr="00661C26">
        <w:rPr>
          <w:rFonts w:eastAsiaTheme="minorHAnsi"/>
          <w:lang w:eastAsia="en-US"/>
        </w:rPr>
        <w:t>a viszonteladói ár meghatározása minden esetben tiltott</w:t>
      </w:r>
      <w:r w:rsidR="006C7064">
        <w:rPr>
          <w:rFonts w:eastAsiaTheme="minorHAnsi"/>
          <w:lang w:eastAsia="en-US"/>
        </w:rPr>
        <w:t>.</w:t>
      </w:r>
    </w:p>
    <w:p w14:paraId="49508D99" w14:textId="1AF5F4FE" w:rsidR="003E3DB4" w:rsidRDefault="003E3DB4" w:rsidP="009230DF">
      <w:pPr>
        <w:spacing w:after="120" w:line="264" w:lineRule="auto"/>
        <w:ind w:left="-454" w:right="-454"/>
        <w:rPr>
          <w:rFonts w:eastAsiaTheme="minorHAnsi"/>
        </w:rPr>
      </w:pPr>
      <w:r>
        <w:rPr>
          <w:rFonts w:eastAsiaTheme="minorHAnsi"/>
        </w:rPr>
        <w:t xml:space="preserve">A </w:t>
      </w:r>
      <w:r w:rsidR="004E0884">
        <w:rPr>
          <w:rFonts w:eastAsiaTheme="minorHAnsi"/>
        </w:rPr>
        <w:t>mikrovállalkozásnak minősülő cég</w:t>
      </w:r>
      <w:r>
        <w:rPr>
          <w:rFonts w:eastAsiaTheme="minorHAnsi"/>
        </w:rPr>
        <w:t xml:space="preserve"> az eljárás során végig együttműködött a </w:t>
      </w:r>
      <w:r w:rsidR="004E0884">
        <w:rPr>
          <w:rFonts w:eastAsiaTheme="minorHAnsi"/>
        </w:rPr>
        <w:t>G</w:t>
      </w:r>
      <w:r w:rsidR="007E568A">
        <w:rPr>
          <w:rFonts w:eastAsiaTheme="minorHAnsi"/>
        </w:rPr>
        <w:t>VH-val</w:t>
      </w:r>
      <w:r>
        <w:rPr>
          <w:rFonts w:eastAsiaTheme="minorHAnsi"/>
        </w:rPr>
        <w:t xml:space="preserve">, </w:t>
      </w:r>
      <w:r w:rsidR="00E07410">
        <w:rPr>
          <w:rFonts w:eastAsiaTheme="minorHAnsi"/>
        </w:rPr>
        <w:t xml:space="preserve">bizonyítékokat szolgáltatott, </w:t>
      </w:r>
      <w:r>
        <w:rPr>
          <w:rFonts w:eastAsiaTheme="minorHAnsi"/>
        </w:rPr>
        <w:t>elismerte a jogsértést és jogorvoslati jogáról is lemondott</w:t>
      </w:r>
      <w:r w:rsidR="00F63CAF">
        <w:rPr>
          <w:rFonts w:eastAsiaTheme="minorHAnsi"/>
        </w:rPr>
        <w:t>,</w:t>
      </w:r>
      <w:r w:rsidR="00E07410">
        <w:rPr>
          <w:rFonts w:eastAsiaTheme="minorHAnsi"/>
        </w:rPr>
        <w:t xml:space="preserve"> emellett pedig</w:t>
      </w:r>
      <w:r w:rsidR="00F63CAF">
        <w:rPr>
          <w:rFonts w:eastAsiaTheme="minorHAnsi"/>
        </w:rPr>
        <w:t xml:space="preserve"> </w:t>
      </w:r>
      <w:r w:rsidR="00E07410">
        <w:rPr>
          <w:rFonts w:eastAsiaTheme="minorHAnsi"/>
        </w:rPr>
        <w:t>utólagos</w:t>
      </w:r>
      <w:r w:rsidR="00F63CAF">
        <w:rPr>
          <w:rFonts w:eastAsiaTheme="minorHAnsi"/>
        </w:rPr>
        <w:t xml:space="preserve"> megfelelési</w:t>
      </w:r>
      <w:r w:rsidR="00DB09EC">
        <w:rPr>
          <w:rFonts w:eastAsiaTheme="minorHAnsi"/>
        </w:rPr>
        <w:t xml:space="preserve"> program</w:t>
      </w:r>
      <w:r w:rsidR="00F63CAF">
        <w:rPr>
          <w:rFonts w:eastAsiaTheme="minorHAnsi"/>
        </w:rPr>
        <w:t xml:space="preserve"> </w:t>
      </w:r>
      <w:r w:rsidR="00E07410">
        <w:rPr>
          <w:rFonts w:eastAsiaTheme="minorHAnsi"/>
        </w:rPr>
        <w:t>megvalósítását is</w:t>
      </w:r>
      <w:r w:rsidR="00F63CAF">
        <w:rPr>
          <w:rFonts w:eastAsiaTheme="minorHAnsi"/>
        </w:rPr>
        <w:t xml:space="preserve"> vállalt</w:t>
      </w:r>
      <w:r w:rsidR="00E07410">
        <w:rPr>
          <w:rFonts w:eastAsiaTheme="minorHAnsi"/>
        </w:rPr>
        <w:t>a</w:t>
      </w:r>
      <w:r>
        <w:rPr>
          <w:rFonts w:eastAsiaTheme="minorHAnsi"/>
        </w:rPr>
        <w:t xml:space="preserve">. A </w:t>
      </w:r>
      <w:r w:rsidR="00036161">
        <w:rPr>
          <w:rFonts w:eastAsiaTheme="minorHAnsi"/>
        </w:rPr>
        <w:t xml:space="preserve">cég </w:t>
      </w:r>
      <w:r>
        <w:rPr>
          <w:rFonts w:eastAsiaTheme="minorHAnsi"/>
        </w:rPr>
        <w:t>együttműködő hozzáállását és</w:t>
      </w:r>
      <w:r w:rsidR="00036161">
        <w:rPr>
          <w:rFonts w:eastAsiaTheme="minorHAnsi"/>
        </w:rPr>
        <w:t xml:space="preserve"> korrekciós</w:t>
      </w:r>
      <w:r>
        <w:rPr>
          <w:rFonts w:eastAsiaTheme="minorHAnsi"/>
        </w:rPr>
        <w:t xml:space="preserve"> lépéseit mérlegelve a GVH Versenytanácsa jelentős mértékben csökkentette a kiszabott </w:t>
      </w:r>
      <w:r w:rsidR="00661C26">
        <w:rPr>
          <w:rFonts w:eastAsiaTheme="minorHAnsi"/>
        </w:rPr>
        <w:t>szankció</w:t>
      </w:r>
      <w:r>
        <w:rPr>
          <w:rFonts w:eastAsiaTheme="minorHAnsi"/>
        </w:rPr>
        <w:t xml:space="preserve"> összegét, így végül </w:t>
      </w:r>
      <w:r w:rsidR="00DB09EC">
        <w:rPr>
          <w:rFonts w:eastAsiaTheme="minorHAnsi"/>
        </w:rPr>
        <w:t>13,5</w:t>
      </w:r>
      <w:r>
        <w:rPr>
          <w:rFonts w:eastAsiaTheme="minorHAnsi"/>
        </w:rPr>
        <w:t xml:space="preserve"> millió forintos bírságot rótt ki a cégre</w:t>
      </w:r>
      <w:r w:rsidR="00036161">
        <w:rPr>
          <w:rFonts w:eastAsiaTheme="minorHAnsi"/>
        </w:rPr>
        <w:t>.</w:t>
      </w:r>
    </w:p>
    <w:p w14:paraId="44FF3819" w14:textId="72E6B4A1" w:rsidR="00DB09EC" w:rsidRDefault="003E3DB4" w:rsidP="006C7064">
      <w:pPr>
        <w:spacing w:after="120" w:line="264" w:lineRule="auto"/>
        <w:ind w:left="-454" w:right="-454"/>
        <w:rPr>
          <w:rFonts w:eastAsiaTheme="minorHAnsi"/>
        </w:rPr>
      </w:pPr>
      <w:r>
        <w:rPr>
          <w:rFonts w:eastAsiaTheme="minorHAnsi"/>
        </w:rPr>
        <w:t xml:space="preserve">Az ügy kapcsán a Gazdasági Versenyhivatal felhívja a vállalkozások figyelmét, hogy megéri együttműködni a nemzeti versenyhatósággal. </w:t>
      </w:r>
      <w:r w:rsidR="00DB09EC">
        <w:rPr>
          <w:rFonts w:eastAsiaTheme="minorHAnsi"/>
        </w:rPr>
        <w:t>A GVH</w:t>
      </w:r>
      <w:r w:rsidR="00661C26">
        <w:rPr>
          <w:rFonts w:eastAsiaTheme="minorHAnsi"/>
        </w:rPr>
        <w:t xml:space="preserve"> – a versenytörvényben foglaltaknak megfelelően – </w:t>
      </w:r>
      <w:r w:rsidR="00DB09EC">
        <w:rPr>
          <w:rFonts w:eastAsiaTheme="minorHAnsi"/>
        </w:rPr>
        <w:t xml:space="preserve">számos együttműködési </w:t>
      </w:r>
      <w:r w:rsidR="00661C26">
        <w:rPr>
          <w:rFonts w:eastAsiaTheme="minorHAnsi"/>
        </w:rPr>
        <w:t>lehetőséget</w:t>
      </w:r>
      <w:r w:rsidR="00DB09EC">
        <w:rPr>
          <w:rFonts w:eastAsiaTheme="minorHAnsi"/>
        </w:rPr>
        <w:t xml:space="preserve"> biztosít a cégek számára, mind fogyasztóvédelmi, mind versenyjogi ügyek esetében.</w:t>
      </w:r>
      <w:r w:rsidR="006C7064">
        <w:rPr>
          <w:rFonts w:eastAsiaTheme="minorHAnsi"/>
        </w:rPr>
        <w:t xml:space="preserve"> </w:t>
      </w:r>
      <w:r w:rsidR="00DB09EC">
        <w:rPr>
          <w:rFonts w:eastAsiaTheme="minorHAnsi"/>
        </w:rPr>
        <w:t>A megfelelő együttműködési formák kiválasztásával jelentősen csökkenthető a kiszabott bírság, és akár teljes</w:t>
      </w:r>
      <w:r w:rsidR="00421E3F">
        <w:rPr>
          <w:rFonts w:eastAsiaTheme="minorHAnsi"/>
        </w:rPr>
        <w:t>en</w:t>
      </w:r>
      <w:r w:rsidR="00DB09EC">
        <w:rPr>
          <w:rFonts w:eastAsiaTheme="minorHAnsi"/>
        </w:rPr>
        <w:t xml:space="preserve"> el is kerülhető a </w:t>
      </w:r>
      <w:r w:rsidR="006C7064">
        <w:rPr>
          <w:rFonts w:eastAsiaTheme="minorHAnsi"/>
        </w:rPr>
        <w:t>pénzbeli szankció.</w:t>
      </w:r>
    </w:p>
    <w:p w14:paraId="211CC4EA" w14:textId="4EE4DBE6" w:rsidR="009230DF" w:rsidRDefault="00DB09EC" w:rsidP="009230DF">
      <w:pPr>
        <w:spacing w:after="120" w:line="264" w:lineRule="auto"/>
        <w:ind w:left="-454" w:right="-454"/>
        <w:rPr>
          <w:rFonts w:eastAsiaTheme="minorHAnsi"/>
        </w:rPr>
      </w:pPr>
      <w:r>
        <w:rPr>
          <w:rFonts w:eastAsiaTheme="minorHAnsi"/>
        </w:rPr>
        <w:t xml:space="preserve">A </w:t>
      </w:r>
      <w:r w:rsidR="00661C26">
        <w:rPr>
          <w:rFonts w:eastAsiaTheme="minorHAnsi"/>
        </w:rPr>
        <w:t>GVH Versenytanácsa</w:t>
      </w:r>
      <w:r>
        <w:rPr>
          <w:rFonts w:eastAsiaTheme="minorHAnsi"/>
        </w:rPr>
        <w:t xml:space="preserve"> emellet</w:t>
      </w:r>
      <w:r w:rsidR="00661C26">
        <w:rPr>
          <w:rFonts w:eastAsiaTheme="minorHAnsi"/>
        </w:rPr>
        <w:t>t figyelembe veszi</w:t>
      </w:r>
      <w:r>
        <w:rPr>
          <w:rFonts w:eastAsiaTheme="minorHAnsi"/>
        </w:rPr>
        <w:t xml:space="preserve"> a jogsértő cég méretét</w:t>
      </w:r>
      <w:r w:rsidR="00661C26">
        <w:rPr>
          <w:rFonts w:eastAsiaTheme="minorHAnsi"/>
        </w:rPr>
        <w:t>, piaci erejét</w:t>
      </w:r>
      <w:r>
        <w:rPr>
          <w:rFonts w:eastAsiaTheme="minorHAnsi"/>
        </w:rPr>
        <w:t xml:space="preserve"> is. Megfelelő együttműködés esetén </w:t>
      </w:r>
      <w:r w:rsidR="007E568A">
        <w:rPr>
          <w:rFonts w:eastAsiaTheme="minorHAnsi"/>
        </w:rPr>
        <w:t xml:space="preserve">a </w:t>
      </w:r>
      <w:r w:rsidR="006C7064">
        <w:rPr>
          <w:rFonts w:eastAsiaTheme="minorHAnsi"/>
        </w:rPr>
        <w:t>versenytörvényben</w:t>
      </w:r>
      <w:r w:rsidR="007E568A">
        <w:rPr>
          <w:rFonts w:eastAsiaTheme="minorHAnsi"/>
        </w:rPr>
        <w:t xml:space="preserve"> meghatározott esetekben </w:t>
      </w:r>
      <w:r>
        <w:rPr>
          <w:rFonts w:eastAsiaTheme="minorHAnsi"/>
        </w:rPr>
        <w:t xml:space="preserve">az első alkalommal jogsértő </w:t>
      </w:r>
      <w:r w:rsidR="009230DF">
        <w:rPr>
          <w:rFonts w:eastAsiaTheme="minorHAnsi"/>
        </w:rPr>
        <w:t>mikro</w:t>
      </w:r>
      <w:r w:rsidR="006C7064">
        <w:rPr>
          <w:rFonts w:eastAsiaTheme="minorHAnsi"/>
        </w:rPr>
        <w:t>-</w:t>
      </w:r>
      <w:r w:rsidR="009230DF">
        <w:rPr>
          <w:rFonts w:eastAsiaTheme="minorHAnsi"/>
        </w:rPr>
        <w:t>, kis- és középvállalkozások</w:t>
      </w:r>
      <w:r w:rsidR="009230DF" w:rsidRPr="009230DF">
        <w:t xml:space="preserve"> </w:t>
      </w:r>
      <w:r w:rsidR="009230DF">
        <w:t xml:space="preserve">a bírság kiszabása helyett figyelmeztetést kaphatnak. Ilyen eset volt például a GVH 2023-ban lezárt eljárása, melyben a </w:t>
      </w:r>
      <w:hyperlink r:id="rId8" w:history="1">
        <w:r w:rsidR="009230DF" w:rsidRPr="009230DF">
          <w:rPr>
            <w:rStyle w:val="Hiperhivatkozs"/>
          </w:rPr>
          <w:t>Regenera italokkal kapcsolatos megtévesztő kommunikációt vizsgálta</w:t>
        </w:r>
      </w:hyperlink>
      <w:r w:rsidR="009230DF">
        <w:t xml:space="preserve">. Fontos azonban, hogy az olyan jelentős súlyú jogsértések esetén, mint a viszonteladási </w:t>
      </w:r>
      <w:r w:rsidR="009230DF">
        <w:rPr>
          <w:rFonts w:eastAsiaTheme="minorHAnsi"/>
          <w:lang w:eastAsia="en-US"/>
        </w:rPr>
        <w:t>ármegkötés</w:t>
      </w:r>
      <w:r w:rsidR="00661C26">
        <w:rPr>
          <w:rFonts w:eastAsiaTheme="minorHAnsi"/>
          <w:lang w:eastAsia="en-US"/>
        </w:rPr>
        <w:t xml:space="preserve"> még a</w:t>
      </w:r>
      <w:r w:rsidR="009230DF">
        <w:rPr>
          <w:rFonts w:eastAsiaTheme="minorHAnsi"/>
          <w:lang w:eastAsia="en-US"/>
        </w:rPr>
        <w:t xml:space="preserve"> KKV-k sem mentesülhetnek</w:t>
      </w:r>
      <w:r w:rsidR="00661C26">
        <w:rPr>
          <w:rFonts w:eastAsiaTheme="minorHAnsi"/>
          <w:lang w:eastAsia="en-US"/>
        </w:rPr>
        <w:t xml:space="preserve"> teljes mértékben</w:t>
      </w:r>
      <w:r w:rsidR="009230DF">
        <w:rPr>
          <w:rFonts w:eastAsiaTheme="minorHAnsi"/>
          <w:lang w:eastAsia="en-US"/>
        </w:rPr>
        <w:t xml:space="preserve"> a szankció alól.</w:t>
      </w:r>
    </w:p>
    <w:p w14:paraId="2C2B628B" w14:textId="5D645CDF" w:rsidR="003E3DB4" w:rsidRPr="00B6638E" w:rsidRDefault="00FF624A" w:rsidP="009230DF">
      <w:pPr>
        <w:spacing w:after="120" w:line="264" w:lineRule="auto"/>
        <w:ind w:left="-454" w:right="-454"/>
        <w:rPr>
          <w:rFonts w:eastAsiaTheme="minorHAnsi"/>
          <w:lang w:eastAsia="en-US"/>
        </w:rPr>
      </w:pPr>
      <w:r w:rsidRPr="006F70D4">
        <w:rPr>
          <w:rFonts w:eastAsiaTheme="minorHAnsi"/>
          <w:lang w:eastAsia="en-US"/>
        </w:rPr>
        <w:t>A G</w:t>
      </w:r>
      <w:r w:rsidR="007E568A">
        <w:rPr>
          <w:rFonts w:eastAsiaTheme="minorHAnsi"/>
          <w:lang w:eastAsia="en-US"/>
        </w:rPr>
        <w:t>VH-v</w:t>
      </w:r>
      <w:r w:rsidRPr="006F70D4">
        <w:rPr>
          <w:rFonts w:eastAsiaTheme="minorHAnsi"/>
          <w:lang w:eastAsia="en-US"/>
        </w:rPr>
        <w:t xml:space="preserve">al </w:t>
      </w:r>
      <w:r w:rsidR="006C7064">
        <w:rPr>
          <w:rFonts w:eastAsiaTheme="minorHAnsi"/>
          <w:lang w:eastAsia="en-US"/>
        </w:rPr>
        <w:t>történő</w:t>
      </w:r>
      <w:r w:rsidR="001C4604">
        <w:rPr>
          <w:rFonts w:eastAsiaTheme="minorHAnsi"/>
          <w:lang w:eastAsia="en-US"/>
        </w:rPr>
        <w:t xml:space="preserve"> </w:t>
      </w:r>
      <w:r w:rsidRPr="006F70D4">
        <w:rPr>
          <w:rFonts w:eastAsiaTheme="minorHAnsi"/>
          <w:lang w:eastAsia="en-US"/>
        </w:rPr>
        <w:t xml:space="preserve">együttműködési lehetőségek feltételei, részletei és az együttműködéseken keresztül kapható engedmények </w:t>
      </w:r>
      <w:r w:rsidR="00036161">
        <w:rPr>
          <w:rFonts w:eastAsiaTheme="minorHAnsi"/>
          <w:lang w:eastAsia="en-US"/>
        </w:rPr>
        <w:t xml:space="preserve">elérhetők </w:t>
      </w:r>
      <w:r w:rsidRPr="006F70D4">
        <w:rPr>
          <w:rFonts w:eastAsiaTheme="minorHAnsi"/>
          <w:lang w:eastAsia="en-US"/>
        </w:rPr>
        <w:t xml:space="preserve">a </w:t>
      </w:r>
      <w:hyperlink r:id="rId9" w:history="1">
        <w:r w:rsidRPr="00036161">
          <w:rPr>
            <w:rStyle w:val="Hiperhivatkozs"/>
            <w:rFonts w:eastAsiaTheme="minorHAnsi"/>
            <w:lang w:eastAsia="en-US"/>
          </w:rPr>
          <w:t>GHV honlapján</w:t>
        </w:r>
      </w:hyperlink>
      <w:r w:rsidR="00036161">
        <w:rPr>
          <w:rFonts w:eastAsiaTheme="minorHAnsi"/>
          <w:color w:val="0000FF"/>
          <w:u w:val="single"/>
          <w:lang w:eastAsia="en-US"/>
        </w:rPr>
        <w:t>.</w:t>
      </w:r>
    </w:p>
    <w:p w14:paraId="564AC320" w14:textId="1DED43CE" w:rsidR="00A77466" w:rsidRPr="006F70D4" w:rsidRDefault="00A77466" w:rsidP="009230DF">
      <w:pPr>
        <w:spacing w:after="120" w:line="264" w:lineRule="auto"/>
        <w:ind w:left="-454" w:right="-454"/>
        <w:rPr>
          <w:rFonts w:eastAsiaTheme="minorHAnsi"/>
          <w:lang w:eastAsia="en-US"/>
        </w:rPr>
      </w:pPr>
      <w:r w:rsidRPr="00A77466">
        <w:rPr>
          <w:rFonts w:eastAsiaTheme="minorHAnsi"/>
          <w:lang w:eastAsia="en-US"/>
        </w:rPr>
        <w:t xml:space="preserve">Az ügy hivatali nyilvántartási száma: </w:t>
      </w:r>
      <w:r w:rsidRPr="00A77466">
        <w:rPr>
          <w:rFonts w:eastAsiaTheme="minorHAnsi"/>
          <w:b/>
          <w:bCs/>
          <w:lang w:eastAsia="en-US"/>
        </w:rPr>
        <w:t>VJ/</w:t>
      </w:r>
      <w:r w:rsidR="009230DF">
        <w:rPr>
          <w:rFonts w:eastAsiaTheme="minorHAnsi"/>
          <w:b/>
          <w:bCs/>
          <w:lang w:eastAsia="en-US"/>
        </w:rPr>
        <w:t>11</w:t>
      </w:r>
      <w:r w:rsidRPr="00A77466">
        <w:rPr>
          <w:rFonts w:eastAsiaTheme="minorHAnsi"/>
          <w:b/>
          <w:bCs/>
          <w:lang w:eastAsia="en-US"/>
        </w:rPr>
        <w:t>/202</w:t>
      </w:r>
      <w:r w:rsidR="003E3DB4">
        <w:rPr>
          <w:rFonts w:eastAsiaTheme="minorHAnsi"/>
          <w:b/>
          <w:bCs/>
          <w:lang w:eastAsia="en-US"/>
        </w:rPr>
        <w:t>2</w:t>
      </w:r>
      <w:r w:rsidRPr="00A77466">
        <w:rPr>
          <w:rFonts w:eastAsiaTheme="minorHAnsi"/>
          <w:b/>
          <w:bCs/>
          <w:lang w:eastAsia="en-US"/>
        </w:rPr>
        <w:t>.</w:t>
      </w:r>
    </w:p>
    <w:p w14:paraId="57DD28CF" w14:textId="77777777" w:rsidR="006C7064" w:rsidRDefault="00361831" w:rsidP="006C7064">
      <w:pPr>
        <w:spacing w:after="0"/>
        <w:ind w:left="-454" w:right="-454"/>
        <w:rPr>
          <w:b/>
          <w:bCs/>
        </w:rPr>
      </w:pPr>
      <w:r>
        <w:rPr>
          <w:b/>
          <w:bCs/>
        </w:rPr>
        <w:t xml:space="preserve">GVH </w:t>
      </w:r>
      <w:r w:rsidR="00EA3A7D">
        <w:rPr>
          <w:b/>
          <w:bCs/>
        </w:rPr>
        <w:t>Kommunikáció</w:t>
      </w:r>
    </w:p>
    <w:p w14:paraId="4D4523B3" w14:textId="1C49D781" w:rsidR="00361831" w:rsidRPr="006C7064" w:rsidRDefault="00361831" w:rsidP="006C7064">
      <w:pPr>
        <w:spacing w:after="0"/>
        <w:ind w:left="-454" w:right="-454"/>
        <w:rPr>
          <w:b/>
          <w:bCs/>
        </w:rPr>
      </w:pPr>
      <w:r>
        <w:t>További információ:</w:t>
      </w:r>
    </w:p>
    <w:p w14:paraId="707774B9" w14:textId="77777777" w:rsidR="00361831" w:rsidRDefault="00361831" w:rsidP="009230DF">
      <w:pPr>
        <w:spacing w:after="0"/>
        <w:ind w:left="-454" w:right="-454"/>
      </w:pPr>
      <w:r>
        <w:t>Horváth Bálint, kommunikációs vezető +36 20 238 6939</w:t>
      </w:r>
    </w:p>
    <w:p w14:paraId="4198A9CE" w14:textId="5886B339" w:rsidR="002A426E" w:rsidRDefault="00361831" w:rsidP="009230DF">
      <w:pPr>
        <w:spacing w:after="0"/>
        <w:ind w:left="-454" w:right="-454"/>
      </w:pPr>
      <w:r>
        <w:t>Gondolovics Katalin, sajtószóvivő +36 30 603 1170</w:t>
      </w:r>
    </w:p>
    <w:sectPr w:rsidR="002A426E" w:rsidSect="009230DF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3818" w14:textId="77777777" w:rsidR="00B96DB9" w:rsidRDefault="00B96DB9">
      <w:pPr>
        <w:spacing w:after="0" w:line="240" w:lineRule="auto"/>
      </w:pPr>
      <w:r>
        <w:separator/>
      </w:r>
    </w:p>
  </w:endnote>
  <w:endnote w:type="continuationSeparator" w:id="0">
    <w:p w14:paraId="664AF3A7" w14:textId="77777777" w:rsidR="00B96DB9" w:rsidRDefault="00B96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A2753E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2664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5C3B6" w14:textId="77777777" w:rsidR="00656BFA" w:rsidRDefault="00656BFA">
    <w:pPr>
      <w:tabs>
        <w:tab w:val="left" w:pos="3226"/>
      </w:tabs>
      <w:rPr>
        <w:rFonts w:eastAsia="Arial"/>
        <w:sz w:val="20"/>
        <w:szCs w:val="20"/>
      </w:rPr>
    </w:pPr>
  </w:p>
  <w:p w14:paraId="26D6C2FF" w14:textId="419345B3" w:rsidR="00A2753E" w:rsidRPr="007B72F1" w:rsidRDefault="00736F52">
    <w:pPr>
      <w:tabs>
        <w:tab w:val="left" w:pos="3226"/>
      </w:tabs>
      <w:rPr>
        <w:sz w:val="20"/>
        <w:szCs w:val="20"/>
      </w:rPr>
    </w:pPr>
    <w:r w:rsidRPr="007B72F1">
      <w:rPr>
        <w:rFonts w:eastAsia="Arial"/>
        <w:sz w:val="20"/>
        <w:szCs w:val="20"/>
      </w:rPr>
      <w:t>1026 Budapest, Riadó u. 1-3.</w:t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</w:r>
    <w:r w:rsidRPr="007B72F1">
      <w:rPr>
        <w:rFonts w:eastAsia="Arial"/>
        <w:sz w:val="20"/>
        <w:szCs w:val="20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1A2A0" w14:textId="77777777" w:rsidR="00B96DB9" w:rsidRDefault="00B96DB9">
      <w:pPr>
        <w:spacing w:after="0" w:line="240" w:lineRule="auto"/>
      </w:pPr>
      <w:r>
        <w:separator/>
      </w:r>
    </w:p>
  </w:footnote>
  <w:footnote w:type="continuationSeparator" w:id="0">
    <w:p w14:paraId="0EA2EC7B" w14:textId="77777777" w:rsidR="00B96DB9" w:rsidRDefault="00B96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A2753E" w:rsidRDefault="00736F52" w:rsidP="009230DF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-454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8570A"/>
    <w:multiLevelType w:val="hybridMultilevel"/>
    <w:tmpl w:val="AE9ACB90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631711761">
    <w:abstractNumId w:val="0"/>
  </w:num>
  <w:num w:numId="2" w16cid:durableId="88133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11AF6"/>
    <w:rsid w:val="00033183"/>
    <w:rsid w:val="00036161"/>
    <w:rsid w:val="000546AD"/>
    <w:rsid w:val="00055453"/>
    <w:rsid w:val="00057D8B"/>
    <w:rsid w:val="000870D5"/>
    <w:rsid w:val="000D0860"/>
    <w:rsid w:val="000E013D"/>
    <w:rsid w:val="000F30BC"/>
    <w:rsid w:val="00126606"/>
    <w:rsid w:val="00154E22"/>
    <w:rsid w:val="00166C7F"/>
    <w:rsid w:val="00167743"/>
    <w:rsid w:val="001A0184"/>
    <w:rsid w:val="001A3E80"/>
    <w:rsid w:val="001A45E8"/>
    <w:rsid w:val="001B44B1"/>
    <w:rsid w:val="001C4604"/>
    <w:rsid w:val="001D00E6"/>
    <w:rsid w:val="001F3B47"/>
    <w:rsid w:val="00202D48"/>
    <w:rsid w:val="00206DF4"/>
    <w:rsid w:val="00231909"/>
    <w:rsid w:val="002574F3"/>
    <w:rsid w:val="00262D6F"/>
    <w:rsid w:val="0026643E"/>
    <w:rsid w:val="002744C0"/>
    <w:rsid w:val="002A0E05"/>
    <w:rsid w:val="002A426E"/>
    <w:rsid w:val="002B5D64"/>
    <w:rsid w:val="002C59D6"/>
    <w:rsid w:val="002D579D"/>
    <w:rsid w:val="002D7A9E"/>
    <w:rsid w:val="002E3BB4"/>
    <w:rsid w:val="002F0404"/>
    <w:rsid w:val="00335A3A"/>
    <w:rsid w:val="003415C6"/>
    <w:rsid w:val="00352001"/>
    <w:rsid w:val="00361831"/>
    <w:rsid w:val="00375DD5"/>
    <w:rsid w:val="003931A4"/>
    <w:rsid w:val="00396409"/>
    <w:rsid w:val="003A5B4C"/>
    <w:rsid w:val="003B59D6"/>
    <w:rsid w:val="003C35EB"/>
    <w:rsid w:val="003C51E4"/>
    <w:rsid w:val="003C5434"/>
    <w:rsid w:val="003E3DB4"/>
    <w:rsid w:val="003E675C"/>
    <w:rsid w:val="00421E3F"/>
    <w:rsid w:val="00424B8A"/>
    <w:rsid w:val="00430D05"/>
    <w:rsid w:val="00447DCF"/>
    <w:rsid w:val="0045121F"/>
    <w:rsid w:val="00470476"/>
    <w:rsid w:val="00472DD2"/>
    <w:rsid w:val="0048207F"/>
    <w:rsid w:val="00491BFC"/>
    <w:rsid w:val="004C382C"/>
    <w:rsid w:val="004D4DFD"/>
    <w:rsid w:val="004D72B2"/>
    <w:rsid w:val="004E0884"/>
    <w:rsid w:val="004E3CF2"/>
    <w:rsid w:val="004E763E"/>
    <w:rsid w:val="004F164F"/>
    <w:rsid w:val="004F59B4"/>
    <w:rsid w:val="00510FF0"/>
    <w:rsid w:val="00516B24"/>
    <w:rsid w:val="005229F0"/>
    <w:rsid w:val="00531D54"/>
    <w:rsid w:val="005378AC"/>
    <w:rsid w:val="00537F49"/>
    <w:rsid w:val="00545903"/>
    <w:rsid w:val="005566B7"/>
    <w:rsid w:val="005574B9"/>
    <w:rsid w:val="005A384B"/>
    <w:rsid w:val="005A4856"/>
    <w:rsid w:val="005B31C0"/>
    <w:rsid w:val="005E13E7"/>
    <w:rsid w:val="005E7373"/>
    <w:rsid w:val="005F14C3"/>
    <w:rsid w:val="005F7B3F"/>
    <w:rsid w:val="006215AF"/>
    <w:rsid w:val="00626E97"/>
    <w:rsid w:val="00633625"/>
    <w:rsid w:val="00633DCD"/>
    <w:rsid w:val="0064186F"/>
    <w:rsid w:val="00656BFA"/>
    <w:rsid w:val="00661C26"/>
    <w:rsid w:val="00662D35"/>
    <w:rsid w:val="00692377"/>
    <w:rsid w:val="006C7064"/>
    <w:rsid w:val="006F2818"/>
    <w:rsid w:val="006F70D4"/>
    <w:rsid w:val="00700D75"/>
    <w:rsid w:val="007200C4"/>
    <w:rsid w:val="0072038E"/>
    <w:rsid w:val="00721F53"/>
    <w:rsid w:val="00736F52"/>
    <w:rsid w:val="00771B9F"/>
    <w:rsid w:val="00785C74"/>
    <w:rsid w:val="007A7CDF"/>
    <w:rsid w:val="007B72F1"/>
    <w:rsid w:val="007C51DC"/>
    <w:rsid w:val="007C6449"/>
    <w:rsid w:val="007E0B83"/>
    <w:rsid w:val="007E12D8"/>
    <w:rsid w:val="007E568A"/>
    <w:rsid w:val="007E7FE3"/>
    <w:rsid w:val="008302EE"/>
    <w:rsid w:val="00831E17"/>
    <w:rsid w:val="00835934"/>
    <w:rsid w:val="008927DB"/>
    <w:rsid w:val="008B5571"/>
    <w:rsid w:val="008C44CC"/>
    <w:rsid w:val="008D2195"/>
    <w:rsid w:val="008F43F8"/>
    <w:rsid w:val="00904062"/>
    <w:rsid w:val="00905BBD"/>
    <w:rsid w:val="00911946"/>
    <w:rsid w:val="009230DF"/>
    <w:rsid w:val="009259A9"/>
    <w:rsid w:val="00933AD1"/>
    <w:rsid w:val="009404D8"/>
    <w:rsid w:val="0096035C"/>
    <w:rsid w:val="00992858"/>
    <w:rsid w:val="009C2511"/>
    <w:rsid w:val="009C55FA"/>
    <w:rsid w:val="00A127BB"/>
    <w:rsid w:val="00A23ED6"/>
    <w:rsid w:val="00A2753E"/>
    <w:rsid w:val="00A321F7"/>
    <w:rsid w:val="00A32CF1"/>
    <w:rsid w:val="00A4311A"/>
    <w:rsid w:val="00A45DD3"/>
    <w:rsid w:val="00A56BD4"/>
    <w:rsid w:val="00A577FC"/>
    <w:rsid w:val="00A715B2"/>
    <w:rsid w:val="00A77466"/>
    <w:rsid w:val="00A8614C"/>
    <w:rsid w:val="00A86AF8"/>
    <w:rsid w:val="00A96E66"/>
    <w:rsid w:val="00AA6119"/>
    <w:rsid w:val="00AA6791"/>
    <w:rsid w:val="00AD398F"/>
    <w:rsid w:val="00AF1A47"/>
    <w:rsid w:val="00AF7964"/>
    <w:rsid w:val="00B43BC7"/>
    <w:rsid w:val="00B45945"/>
    <w:rsid w:val="00B6413F"/>
    <w:rsid w:val="00B6638E"/>
    <w:rsid w:val="00B95D88"/>
    <w:rsid w:val="00B96DB9"/>
    <w:rsid w:val="00BC4099"/>
    <w:rsid w:val="00BE280A"/>
    <w:rsid w:val="00BF1851"/>
    <w:rsid w:val="00C17311"/>
    <w:rsid w:val="00C4497D"/>
    <w:rsid w:val="00C467E5"/>
    <w:rsid w:val="00C52750"/>
    <w:rsid w:val="00C7750A"/>
    <w:rsid w:val="00C87708"/>
    <w:rsid w:val="00C878D4"/>
    <w:rsid w:val="00C9083F"/>
    <w:rsid w:val="00C94731"/>
    <w:rsid w:val="00CA2EBA"/>
    <w:rsid w:val="00CD56C9"/>
    <w:rsid w:val="00CD63D8"/>
    <w:rsid w:val="00D16789"/>
    <w:rsid w:val="00D17AE1"/>
    <w:rsid w:val="00D213C7"/>
    <w:rsid w:val="00D31443"/>
    <w:rsid w:val="00D35441"/>
    <w:rsid w:val="00D818C1"/>
    <w:rsid w:val="00D81B2E"/>
    <w:rsid w:val="00D90F9D"/>
    <w:rsid w:val="00DA3CE7"/>
    <w:rsid w:val="00DA6E97"/>
    <w:rsid w:val="00DB09EC"/>
    <w:rsid w:val="00DB1166"/>
    <w:rsid w:val="00DB2E94"/>
    <w:rsid w:val="00DB780D"/>
    <w:rsid w:val="00DC429F"/>
    <w:rsid w:val="00DE2921"/>
    <w:rsid w:val="00E005DD"/>
    <w:rsid w:val="00E07410"/>
    <w:rsid w:val="00E143F7"/>
    <w:rsid w:val="00E22F44"/>
    <w:rsid w:val="00E322A5"/>
    <w:rsid w:val="00E3581E"/>
    <w:rsid w:val="00E43C8E"/>
    <w:rsid w:val="00E44D7A"/>
    <w:rsid w:val="00E45607"/>
    <w:rsid w:val="00E665BD"/>
    <w:rsid w:val="00E761EB"/>
    <w:rsid w:val="00E7724B"/>
    <w:rsid w:val="00EA3A7D"/>
    <w:rsid w:val="00EB2663"/>
    <w:rsid w:val="00EC4637"/>
    <w:rsid w:val="00EC4A57"/>
    <w:rsid w:val="00EE0B58"/>
    <w:rsid w:val="00F13997"/>
    <w:rsid w:val="00F22CD6"/>
    <w:rsid w:val="00F261FE"/>
    <w:rsid w:val="00F31382"/>
    <w:rsid w:val="00F462B2"/>
    <w:rsid w:val="00F4708C"/>
    <w:rsid w:val="00F54D0C"/>
    <w:rsid w:val="00F63CAF"/>
    <w:rsid w:val="00F90B45"/>
    <w:rsid w:val="00F91CE4"/>
    <w:rsid w:val="00F922F9"/>
    <w:rsid w:val="00F9796B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1EFAA"/>
  <w15:docId w15:val="{F6FFD92A-87BA-4281-9C85-ADDC1587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character" w:customStyle="1" w:styleId="ListaszerbekezdsChar">
    <w:name w:val="Listaszerű bekezdés Char"/>
    <w:aliases w:val="Számozott lista 1 Char,List Paragraph à moi Char,Dot pt Char,No Spacing1 Char,List Paragraph Char Char Char Char,Indicator Text Char,Numbered Para 1 Char,Listaszerű bekezdés 1. szint Char,Számozás Char,Eszeri felsorolás Char"/>
    <w:basedOn w:val="Bekezdsalapbettpusa"/>
    <w:link w:val="Listaszerbekezds"/>
    <w:uiPriority w:val="34"/>
    <w:qFormat/>
    <w:locked/>
    <w:rsid w:val="00231909"/>
  </w:style>
  <w:style w:type="paragraph" w:styleId="Listaszerbekezds">
    <w:name w:val="List Paragraph"/>
    <w:aliases w:val="Számozott lista 1,List Paragraph à moi,Dot pt,No Spacing1,List Paragraph Char Char Char,Indicator Text,Numbered Para 1,Listaszerű bekezdés 1. szint,Számozás,Eszeri felsorolás,lista_2,Welt L Char,Welt L,Bullet List,FooterText,numbered"/>
    <w:basedOn w:val="Norml"/>
    <w:link w:val="ListaszerbekezdsChar"/>
    <w:uiPriority w:val="34"/>
    <w:qFormat/>
    <w:rsid w:val="00231909"/>
    <w:pPr>
      <w:spacing w:after="0" w:line="240" w:lineRule="auto"/>
      <w:ind w:left="7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B72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72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21F7"/>
    <w:rPr>
      <w:rFonts w:ascii="Tahoma" w:eastAsia="Times New Roman" w:hAnsi="Tahoma" w:cs="Tahoma"/>
      <w:sz w:val="16"/>
      <w:szCs w:val="1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262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h.hu/sajtoszoba/sajtokozlemenyek/2023-as-sajtokozlemenyek/nem-lesz-konnyebb-a-masnap--megtevesztettek-a-fogyasztokat-a-regenera-ital-masnapossag-elleni-hatasaval-kapcsolatba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vallalkozasoknak/eljaras-ala-vonta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683C-6C57-44B8-939F-324528A1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 Csongor dr.</dc:creator>
  <cp:lastModifiedBy>Garda Zsófia</cp:lastModifiedBy>
  <cp:revision>5</cp:revision>
  <dcterms:created xsi:type="dcterms:W3CDTF">2025-07-01T12:54:00Z</dcterms:created>
  <dcterms:modified xsi:type="dcterms:W3CDTF">2025-07-09T06:09:00Z</dcterms:modified>
</cp:coreProperties>
</file>