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F866CC" w14:textId="7B28B9E6" w:rsidR="00861B82" w:rsidRPr="00E37237" w:rsidRDefault="006620E0" w:rsidP="00961664">
      <w:pPr>
        <w:tabs>
          <w:tab w:val="left" w:pos="567"/>
        </w:tabs>
        <w:spacing w:after="120"/>
        <w:ind w:left="-57" w:right="-57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Fenntartható jövőt csak átlátható kommunikációval lehet elérni</w:t>
      </w:r>
    </w:p>
    <w:p w14:paraId="70F2C58A" w14:textId="313DE701" w:rsidR="00DD7FD8" w:rsidRPr="006620E0" w:rsidRDefault="006620E0" w:rsidP="00961664">
      <w:pPr>
        <w:tabs>
          <w:tab w:val="left" w:pos="567"/>
        </w:tabs>
        <w:spacing w:after="120"/>
        <w:ind w:left="-57" w:right="-57"/>
        <w:rPr>
          <w:b/>
          <w:i/>
          <w:iCs/>
        </w:rPr>
      </w:pPr>
      <w:r w:rsidRPr="006620E0">
        <w:rPr>
          <w:b/>
          <w:i/>
          <w:iCs/>
        </w:rPr>
        <w:t>A zöld állításokról szólt a GVH legújabb</w:t>
      </w:r>
      <w:r w:rsidR="0040120E">
        <w:rPr>
          <w:b/>
          <w:i/>
          <w:iCs/>
        </w:rPr>
        <w:t xml:space="preserve"> tudásmegosztó</w:t>
      </w:r>
      <w:r w:rsidRPr="006620E0">
        <w:rPr>
          <w:b/>
          <w:i/>
          <w:iCs/>
        </w:rPr>
        <w:t xml:space="preserve"> rendezvénye</w:t>
      </w:r>
    </w:p>
    <w:p w14:paraId="7DB99B0E" w14:textId="19770A8C" w:rsidR="00C75A6B" w:rsidRPr="00F6320B" w:rsidRDefault="007932FB" w:rsidP="00961664">
      <w:pPr>
        <w:tabs>
          <w:tab w:val="left" w:pos="567"/>
        </w:tabs>
        <w:spacing w:after="120"/>
        <w:ind w:left="-57" w:right="-57"/>
        <w:rPr>
          <w:b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6620E0">
        <w:rPr>
          <w:b/>
        </w:rPr>
        <w:t>május 27</w:t>
      </w:r>
      <w:r w:rsidR="00741CFD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706B9F">
        <w:rPr>
          <w:b/>
        </w:rPr>
        <w:t xml:space="preserve"> </w:t>
      </w:r>
      <w:r w:rsidR="006620E0">
        <w:rPr>
          <w:b/>
        </w:rPr>
        <w:t>Immáron hetedik alkalommal rendezett konferenciát a Magyar Compliance Akadémia</w:t>
      </w:r>
      <w:r w:rsidR="0040120E">
        <w:rPr>
          <w:b/>
        </w:rPr>
        <w:t xml:space="preserve"> (MCA)</w:t>
      </w:r>
      <w:r w:rsidR="006620E0">
        <w:rPr>
          <w:b/>
        </w:rPr>
        <w:t xml:space="preserve"> keretében a Gazdasági Versenyhivatal</w:t>
      </w:r>
      <w:r w:rsidR="0040120E">
        <w:rPr>
          <w:b/>
        </w:rPr>
        <w:t xml:space="preserve"> (GVH)</w:t>
      </w:r>
      <w:r w:rsidR="006620E0">
        <w:rPr>
          <w:b/>
        </w:rPr>
        <w:t>. A több mint egy éve</w:t>
      </w:r>
      <w:r w:rsidR="0040120E">
        <w:rPr>
          <w:b/>
        </w:rPr>
        <w:t xml:space="preserve"> zajló</w:t>
      </w:r>
      <w:r w:rsidR="006620E0">
        <w:rPr>
          <w:b/>
        </w:rPr>
        <w:t xml:space="preserve"> eseménysorozat legújabb rendezvényén a zöld megfelelés témaköre került a középpontba</w:t>
      </w:r>
      <w:r w:rsidR="00E25727">
        <w:rPr>
          <w:b/>
        </w:rPr>
        <w:t>.</w:t>
      </w:r>
      <w:r w:rsidR="00B928DE">
        <w:rPr>
          <w:b/>
        </w:rPr>
        <w:t xml:space="preserve"> Az esemény résztvevői elsősorban a megtévesztő zöld állítások kérdésével és annak versennyel való kapcsolatával foglalkoztak. A </w:t>
      </w:r>
      <w:r w:rsidR="00541689">
        <w:rPr>
          <w:b/>
        </w:rPr>
        <w:t>GVH</w:t>
      </w:r>
      <w:r w:rsidR="00B928DE">
        <w:rPr>
          <w:b/>
        </w:rPr>
        <w:t xml:space="preserve"> továbbra is fókuszterületként tekint a zöld állítások kérdéskörére.</w:t>
      </w:r>
    </w:p>
    <w:p w14:paraId="2F49764A" w14:textId="77777777" w:rsidR="00E50827" w:rsidRDefault="00C61AE4" w:rsidP="00961664">
      <w:pPr>
        <w:tabs>
          <w:tab w:val="left" w:pos="567"/>
        </w:tabs>
        <w:spacing w:after="120"/>
        <w:ind w:left="-57" w:right="-57"/>
      </w:pPr>
      <w:r>
        <w:t xml:space="preserve">A Gazdasági Versenyhivatal 2024 </w:t>
      </w:r>
      <w:r w:rsidR="00C75A6B">
        <w:t>elején</w:t>
      </w:r>
      <w:r>
        <w:t xml:space="preserve"> indította útjára a </w:t>
      </w:r>
      <w:hyperlink r:id="rId8" w:history="1">
        <w:r w:rsidRPr="00E84B80">
          <w:rPr>
            <w:rStyle w:val="Hiperhivatkozs"/>
          </w:rPr>
          <w:t>Magyar Compliance Akadémiát</w:t>
        </w:r>
      </w:hyperlink>
      <w:r w:rsidR="00C75A6B">
        <w:rPr>
          <w:rStyle w:val="Hiperhivatkozs"/>
        </w:rPr>
        <w:t xml:space="preserve"> (MCA)</w:t>
      </w:r>
      <w:r>
        <w:t xml:space="preserve"> a</w:t>
      </w:r>
      <w:r w:rsidR="000371AD">
        <w:t xml:space="preserve">zzal a céllal, hogy </w:t>
      </w:r>
      <w:r w:rsidR="000371AD" w:rsidRPr="000371AD">
        <w:t>a vállalati megfelelést elősegítve erősíts</w:t>
      </w:r>
      <w:r w:rsidR="000371AD">
        <w:t>e</w:t>
      </w:r>
      <w:r w:rsidR="000371AD" w:rsidRPr="000371AD">
        <w:t xml:space="preserve"> a piaci versenyt</w:t>
      </w:r>
      <w:r w:rsidR="000371AD">
        <w:t>, a versenyképességet és a gazdasági teljesítményt.</w:t>
      </w:r>
      <w:r w:rsidR="007F0827">
        <w:t xml:space="preserve"> </w:t>
      </w:r>
      <w:r w:rsidR="00B928DE">
        <w:t xml:space="preserve">Az MCA immáron hetedik eseményét 2025. május 27-én rendezte meg a GVH budapesti székházában. Az esemény központi témáját a zöld megfelelés adta, mely évek óta előkelő helyet foglal el a </w:t>
      </w:r>
      <w:r w:rsidR="00541689">
        <w:t>GVH</w:t>
      </w:r>
      <w:r w:rsidR="00B928DE">
        <w:t xml:space="preserve"> radarján. A konferencián olyan neves szakemberek is előadtak, mint </w:t>
      </w:r>
      <w:r w:rsidR="00B928DE" w:rsidRPr="00B928DE">
        <w:rPr>
          <w:b/>
          <w:bCs/>
        </w:rPr>
        <w:t>Kőrösi Csaba</w:t>
      </w:r>
      <w:r w:rsidR="00B928DE">
        <w:t xml:space="preserve">, </w:t>
      </w:r>
      <w:r w:rsidR="00B928DE" w:rsidRPr="00B928DE">
        <w:t>az ENSZ Közgyűlésének volt elnöke, a Kék Bolygó Klímavédelmi Alapítvány stratégiai igazgatója</w:t>
      </w:r>
      <w:r w:rsidR="00B928DE">
        <w:t xml:space="preserve">, és </w:t>
      </w:r>
      <w:r w:rsidR="00B928DE" w:rsidRPr="00B928DE">
        <w:rPr>
          <w:b/>
          <w:bCs/>
        </w:rPr>
        <w:t>Keszthelyi Nikoletta</w:t>
      </w:r>
      <w:r w:rsidR="00B928DE">
        <w:rPr>
          <w:b/>
          <w:bCs/>
        </w:rPr>
        <w:t xml:space="preserve"> </w:t>
      </w:r>
      <w:r w:rsidR="00B928DE" w:rsidRPr="00B928DE">
        <w:t>az Energiaügyi Minisztérium környezetvédelemért felelős helyettes-államtitkára</w:t>
      </w:r>
      <w:r w:rsidR="00B928DE">
        <w:t>.</w:t>
      </w:r>
      <w:r w:rsidR="0040120E">
        <w:t xml:space="preserve"> </w:t>
      </w:r>
    </w:p>
    <w:p w14:paraId="2EBB6F80" w14:textId="3BFA0BAE" w:rsidR="00C75A6B" w:rsidRPr="0030238C" w:rsidRDefault="0030238C" w:rsidP="00961664">
      <w:pPr>
        <w:tabs>
          <w:tab w:val="left" w:pos="567"/>
        </w:tabs>
        <w:spacing w:after="120"/>
        <w:ind w:left="-57" w:right="-57"/>
        <w:rPr>
          <w:i/>
          <w:iCs/>
        </w:rPr>
      </w:pPr>
      <w:r w:rsidRPr="0030238C">
        <w:t xml:space="preserve">A konferenciát a </w:t>
      </w:r>
      <w:r w:rsidRPr="0030238C">
        <w:rPr>
          <w:b/>
          <w:bCs/>
        </w:rPr>
        <w:t>Bak László</w:t>
      </w:r>
      <w:r w:rsidRPr="0030238C">
        <w:t xml:space="preserve">, a GVH elnökhelyettese nyitotta meg, aki a megfelelés fontosságát hangsúlyozta: </w:t>
      </w:r>
      <w:r w:rsidRPr="0030238C">
        <w:rPr>
          <w:i/>
          <w:iCs/>
        </w:rPr>
        <w:t>„A fenntarthatósági törekvéseket támogató reklámkommunikáció során fontos szerep jut a vállalkozások körültekintő eljárásának. A zöld állításokat megfelelő bizonyítékokkal alá kell tudni támasztani, pontosan és konkrétan kell megjelölni.”</w:t>
      </w:r>
    </w:p>
    <w:p w14:paraId="52AF5548" w14:textId="11272F9B" w:rsidR="005656EA" w:rsidRDefault="00541689" w:rsidP="00961664">
      <w:pPr>
        <w:spacing w:after="120"/>
        <w:ind w:left="-57" w:right="-57"/>
      </w:pPr>
      <w:r>
        <w:t xml:space="preserve">A rendezvény keretében a résztvevő szakértők megvitatták a zöld megfelelés legfontosabb vetületeit, a jogkövető zöld állítások kialakításának szempontjait, a leggyakoribb buktatókat, és a témakör versenyjoggal való kapcsolatát is. A Gazdasági Versenyhivatal szakértői bemutatták továbbá a GVH legfrissebb eljárási tapasztalatait </w:t>
      </w:r>
      <w:r w:rsidR="005656EA">
        <w:t>is.</w:t>
      </w:r>
    </w:p>
    <w:p w14:paraId="275A0EB9" w14:textId="304BC49C" w:rsidR="0040120E" w:rsidRDefault="0040120E" w:rsidP="00961664">
      <w:pPr>
        <w:spacing w:after="120"/>
        <w:ind w:left="-57" w:right="-57"/>
      </w:pPr>
      <w:r>
        <w:t>Az esemény keretében szervezett panelbeszélgetésbe</w:t>
      </w:r>
      <w:r w:rsidR="009D4014">
        <w:t xml:space="preserve">n </w:t>
      </w:r>
      <w:r w:rsidR="009D4014" w:rsidRPr="009D4014">
        <w:rPr>
          <w:b/>
          <w:bCs/>
        </w:rPr>
        <w:t>Basa Andrea</w:t>
      </w:r>
      <w:r w:rsidR="009D4014">
        <w:t xml:space="preserve">, a GVH fogyasztóvédelmi irodavezetője, </w:t>
      </w:r>
      <w:r w:rsidR="009D4014" w:rsidRPr="009D4014">
        <w:rPr>
          <w:b/>
          <w:bCs/>
        </w:rPr>
        <w:t>Fazekas Ildikó</w:t>
      </w:r>
      <w:r w:rsidR="009D4014">
        <w:t xml:space="preserve">, az Önszabályozó Reklám Testület igazgatója, </w:t>
      </w:r>
      <w:r w:rsidR="009D4014" w:rsidRPr="009D4014">
        <w:rPr>
          <w:b/>
          <w:bCs/>
        </w:rPr>
        <w:t>Köves Alexandra</w:t>
      </w:r>
      <w:r w:rsidR="009D4014">
        <w:t xml:space="preserve"> ökológiai közgazdász és </w:t>
      </w:r>
      <w:r w:rsidR="009D4014" w:rsidRPr="009D4014">
        <w:rPr>
          <w:b/>
          <w:bCs/>
        </w:rPr>
        <w:t>Nagy Andrea Magdolna</w:t>
      </w:r>
      <w:r w:rsidR="009D4014">
        <w:t xml:space="preserve"> ügyvéd vettek részt. A szakmai eszmecserét </w:t>
      </w:r>
      <w:r w:rsidR="009D4014" w:rsidRPr="009D4014">
        <w:rPr>
          <w:b/>
          <w:bCs/>
        </w:rPr>
        <w:t>Váczi Nóra</w:t>
      </w:r>
      <w:r w:rsidR="009D4014">
        <w:t xml:space="preserve"> a GVH Versenytanácsának tagja moderálta.</w:t>
      </w:r>
    </w:p>
    <w:p w14:paraId="3F1BC951" w14:textId="2DF0068B" w:rsidR="00706B9F" w:rsidRDefault="005656EA" w:rsidP="00961664">
      <w:pPr>
        <w:spacing w:after="120"/>
        <w:ind w:left="-57" w:right="-57"/>
      </w:pPr>
      <w:r>
        <w:t xml:space="preserve">A Gazdasági Versenyhivatal 2022 és 2024 között piacelemzés keretében vizsgálta meg, </w:t>
      </w:r>
      <w:r>
        <w:rPr>
          <w:bCs/>
        </w:rPr>
        <w:t xml:space="preserve">hogy az élelmiszerek, a ruházati termékek, a vegyipari termékek és a kozmetikumok körében </w:t>
      </w:r>
      <w:r>
        <w:t xml:space="preserve">milyen környezetvédelmi (ún. „zöld”) állításokat alkalmaznak a vállalkozások, és hogy ezek milyen mértékben befolyásolják a fogyasztók vásárlási szándékait. A feltártak alapján </w:t>
      </w:r>
      <w:hyperlink r:id="rId9" w:history="1">
        <w:r w:rsidRPr="005656EA">
          <w:rPr>
            <w:rStyle w:val="Hiperhivatkozs"/>
          </w:rPr>
          <w:t>számos javaslatot fogalmazott meg, többek között egy többszintes, államilag szabályozott fenntarthatósági jelölőrendszer kialakítását</w:t>
        </w:r>
      </w:hyperlink>
      <w:r>
        <w:t>.</w:t>
      </w:r>
    </w:p>
    <w:p w14:paraId="353DAA3A" w14:textId="4E37739C" w:rsidR="005656EA" w:rsidRDefault="005656EA" w:rsidP="00961664">
      <w:pPr>
        <w:spacing w:after="120"/>
        <w:ind w:left="-57" w:right="-57"/>
      </w:pPr>
      <w:r w:rsidRPr="005656EA">
        <w:t xml:space="preserve">A GVH jelenleg három eljárást folytat az </w:t>
      </w:r>
      <w:hyperlink r:id="rId10" w:history="1">
        <w:r w:rsidRPr="005656EA">
          <w:rPr>
            <w:rStyle w:val="Hiperhivatkozs"/>
          </w:rPr>
          <w:t>ásványvizes és üdítőitalos palackok címkéin feltüntetett környezetvédelmi állítások vizsgálatára</w:t>
        </w:r>
      </w:hyperlink>
      <w:r w:rsidRPr="005656EA">
        <w:t xml:space="preserve">, míg 2024 </w:t>
      </w:r>
      <w:r>
        <w:t xml:space="preserve">tavaszán az ún. </w:t>
      </w:r>
      <w:hyperlink r:id="rId11" w:history="1">
        <w:proofErr w:type="spellStart"/>
        <w:r w:rsidRPr="005656EA">
          <w:rPr>
            <w:rStyle w:val="Hiperhivatkozs"/>
            <w:i/>
            <w:iCs/>
          </w:rPr>
          <w:t>repohár</w:t>
        </w:r>
        <w:proofErr w:type="spellEnd"/>
        <w:r w:rsidRPr="005656EA">
          <w:rPr>
            <w:rStyle w:val="Hiperhivatkozs"/>
            <w:i/>
            <w:iCs/>
          </w:rPr>
          <w:t xml:space="preserve"> rendszert </w:t>
        </w:r>
        <w:r w:rsidRPr="005656EA">
          <w:rPr>
            <w:rStyle w:val="Hiperhivatkozs"/>
          </w:rPr>
          <w:t xml:space="preserve">üzemeltető </w:t>
        </w:r>
        <w:proofErr w:type="spellStart"/>
        <w:r w:rsidRPr="005656EA">
          <w:rPr>
            <w:rStyle w:val="Hiperhivatkozs"/>
          </w:rPr>
          <w:t>Cup</w:t>
        </w:r>
        <w:proofErr w:type="spellEnd"/>
        <w:r w:rsidRPr="005656EA">
          <w:rPr>
            <w:rStyle w:val="Hiperhivatkozs"/>
          </w:rPr>
          <w:t xml:space="preserve"> </w:t>
        </w:r>
        <w:proofErr w:type="spellStart"/>
        <w:r w:rsidRPr="005656EA">
          <w:rPr>
            <w:rStyle w:val="Hiperhivatkozs"/>
          </w:rPr>
          <w:t>Revolution</w:t>
        </w:r>
        <w:proofErr w:type="spellEnd"/>
        <w:r w:rsidRPr="005656EA">
          <w:rPr>
            <w:rStyle w:val="Hiperhivatkozs"/>
          </w:rPr>
          <w:t>-el szemben zárta le eljárását</w:t>
        </w:r>
      </w:hyperlink>
      <w:r>
        <w:t xml:space="preserve">. A </w:t>
      </w:r>
      <w:r w:rsidR="00F636E3">
        <w:t xml:space="preserve">Gazdasági Versenyhivatal 2025 elején részt vett kettő globális nyílt levél kialakításában és aláírásában is, melyekkel a Nemzetközi Fogyasztóvédelmi Jogérvényesítési Hálózat (ICPEN) hívja fel a </w:t>
      </w:r>
      <w:hyperlink r:id="rId12" w:history="1">
        <w:r w:rsidR="00F636E3" w:rsidRPr="00F636E3">
          <w:rPr>
            <w:rStyle w:val="Hiperhivatkozs"/>
          </w:rPr>
          <w:t>divat és textilipar</w:t>
        </w:r>
      </w:hyperlink>
      <w:r w:rsidR="00F636E3">
        <w:t xml:space="preserve">, illetve a </w:t>
      </w:r>
      <w:hyperlink r:id="rId13" w:history="1">
        <w:r w:rsidR="00F636E3" w:rsidRPr="00F636E3">
          <w:rPr>
            <w:rStyle w:val="Hiperhivatkozs"/>
          </w:rPr>
          <w:t>lég</w:t>
        </w:r>
        <w:r w:rsidR="00F636E3">
          <w:rPr>
            <w:rStyle w:val="Hiperhivatkozs"/>
          </w:rPr>
          <w:t>iforgalmi</w:t>
        </w:r>
        <w:r w:rsidR="00F636E3" w:rsidRPr="00F636E3">
          <w:rPr>
            <w:rStyle w:val="Hiperhivatkozs"/>
          </w:rPr>
          <w:t xml:space="preserve"> szektor</w:t>
        </w:r>
      </w:hyperlink>
      <w:r w:rsidR="00F636E3">
        <w:t xml:space="preserve"> szereplőinek figyelmét a megfelelő zöld állítások fontosságára. </w:t>
      </w:r>
    </w:p>
    <w:p w14:paraId="7CFFBFA6" w14:textId="2C152CCE" w:rsidR="00F636E3" w:rsidRPr="005656EA" w:rsidRDefault="00F636E3" w:rsidP="00961664">
      <w:pPr>
        <w:spacing w:after="120"/>
        <w:ind w:left="-57" w:right="-57"/>
      </w:pPr>
      <w:r>
        <w:lastRenderedPageBreak/>
        <w:t xml:space="preserve">A GVH ismételten </w:t>
      </w:r>
      <w:proofErr w:type="spellStart"/>
      <w:r>
        <w:t>nyomatékosítja</w:t>
      </w:r>
      <w:proofErr w:type="spellEnd"/>
      <w:r>
        <w:t xml:space="preserve">, hogy a vállalkozásoknak a környezetvédelemre és környezeti tudatosságra vonatkozó kereskedelmi kommunikációjuk kialakítása során biztosítaniuk kell, hogy állításaik megalapozottak, tényekkel alátámaszthatóak, és a fogyasztó számára is egyértelműek. Az elvárásoknak való megfelelést </w:t>
      </w:r>
      <w:hyperlink r:id="rId14" w:history="1">
        <w:r w:rsidRPr="00F636E3">
          <w:rPr>
            <w:rStyle w:val="Hiperhivatkozs"/>
            <w:i/>
            <w:iCs/>
          </w:rPr>
          <w:t>Zöld marketing</w:t>
        </w:r>
        <w:r w:rsidRPr="00F636E3">
          <w:rPr>
            <w:rStyle w:val="Hiperhivatkozs"/>
          </w:rPr>
          <w:t xml:space="preserve"> útmutatójával</w:t>
        </w:r>
      </w:hyperlink>
      <w:r>
        <w:t xml:space="preserve"> segíti a Gazdasági Versenyhivatal.</w:t>
      </w:r>
    </w:p>
    <w:p w14:paraId="0D04E660" w14:textId="4CC322ED" w:rsidR="003A45F2" w:rsidRPr="00C75A6B" w:rsidRDefault="003A45F2" w:rsidP="00961664">
      <w:pPr>
        <w:spacing w:after="0"/>
        <w:ind w:left="-57" w:right="-57"/>
        <w:rPr>
          <w:b/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961664">
      <w:pPr>
        <w:spacing w:after="0"/>
        <w:ind w:left="-57" w:right="-57"/>
      </w:pPr>
      <w:r>
        <w:t>Horváth Bálint, kommunikációs vezető +36 20 238 6939</w:t>
      </w:r>
    </w:p>
    <w:p w14:paraId="62B10205" w14:textId="3526249E" w:rsidR="006A045E" w:rsidRPr="00257907" w:rsidRDefault="003A45F2" w:rsidP="00961664">
      <w:pPr>
        <w:spacing w:after="0"/>
        <w:ind w:left="-57" w:right="-57"/>
      </w:pPr>
      <w:r>
        <w:t>Gondolovics Katalin, sajtószóvivő +36 30 603 1170</w:t>
      </w:r>
    </w:p>
    <w:sectPr w:rsidR="006A045E" w:rsidRPr="00257907" w:rsidSect="00961664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9967C" w14:textId="77777777" w:rsidR="002A0617" w:rsidRDefault="002A0617">
      <w:pPr>
        <w:spacing w:after="0" w:line="240" w:lineRule="auto"/>
      </w:pPr>
      <w:r>
        <w:separator/>
      </w:r>
    </w:p>
  </w:endnote>
  <w:endnote w:type="continuationSeparator" w:id="0">
    <w:p w14:paraId="75F634D9" w14:textId="77777777" w:rsidR="002A0617" w:rsidRDefault="002A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3D19E321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FF072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7667A" w14:textId="77777777" w:rsidR="002A0617" w:rsidRDefault="002A0617">
      <w:pPr>
        <w:spacing w:after="0" w:line="240" w:lineRule="auto"/>
      </w:pPr>
      <w:r>
        <w:separator/>
      </w:r>
    </w:p>
  </w:footnote>
  <w:footnote w:type="continuationSeparator" w:id="0">
    <w:p w14:paraId="5AE1669F" w14:textId="77777777" w:rsidR="002A0617" w:rsidRDefault="002A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35390">
    <w:abstractNumId w:val="19"/>
  </w:num>
  <w:num w:numId="2" w16cid:durableId="295449862">
    <w:abstractNumId w:val="23"/>
  </w:num>
  <w:num w:numId="3" w16cid:durableId="2058578103">
    <w:abstractNumId w:val="27"/>
  </w:num>
  <w:num w:numId="4" w16cid:durableId="204561189">
    <w:abstractNumId w:val="15"/>
  </w:num>
  <w:num w:numId="5" w16cid:durableId="1539320295">
    <w:abstractNumId w:val="16"/>
  </w:num>
  <w:num w:numId="6" w16cid:durableId="16319092">
    <w:abstractNumId w:val="11"/>
  </w:num>
  <w:num w:numId="7" w16cid:durableId="63995424">
    <w:abstractNumId w:val="17"/>
  </w:num>
  <w:num w:numId="8" w16cid:durableId="1465385628">
    <w:abstractNumId w:val="29"/>
  </w:num>
  <w:num w:numId="9" w16cid:durableId="2017806679">
    <w:abstractNumId w:val="21"/>
  </w:num>
  <w:num w:numId="10" w16cid:durableId="1324164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1286113">
    <w:abstractNumId w:val="1"/>
  </w:num>
  <w:num w:numId="12" w16cid:durableId="1357929513">
    <w:abstractNumId w:val="9"/>
  </w:num>
  <w:num w:numId="13" w16cid:durableId="1942906608">
    <w:abstractNumId w:val="25"/>
  </w:num>
  <w:num w:numId="14" w16cid:durableId="1491750443">
    <w:abstractNumId w:val="4"/>
  </w:num>
  <w:num w:numId="15" w16cid:durableId="1476142908">
    <w:abstractNumId w:val="7"/>
  </w:num>
  <w:num w:numId="16" w16cid:durableId="756295412">
    <w:abstractNumId w:val="18"/>
  </w:num>
  <w:num w:numId="17" w16cid:durableId="779840706">
    <w:abstractNumId w:val="12"/>
  </w:num>
  <w:num w:numId="18" w16cid:durableId="37122171">
    <w:abstractNumId w:val="0"/>
  </w:num>
  <w:num w:numId="19" w16cid:durableId="1837066864">
    <w:abstractNumId w:val="3"/>
  </w:num>
  <w:num w:numId="20" w16cid:durableId="142240350">
    <w:abstractNumId w:val="8"/>
  </w:num>
  <w:num w:numId="21" w16cid:durableId="455681143">
    <w:abstractNumId w:val="6"/>
  </w:num>
  <w:num w:numId="22" w16cid:durableId="192961865">
    <w:abstractNumId w:val="22"/>
  </w:num>
  <w:num w:numId="23" w16cid:durableId="1708682505">
    <w:abstractNumId w:val="10"/>
  </w:num>
  <w:num w:numId="24" w16cid:durableId="1372725815">
    <w:abstractNumId w:val="2"/>
  </w:num>
  <w:num w:numId="25" w16cid:durableId="1241600127">
    <w:abstractNumId w:val="5"/>
  </w:num>
  <w:num w:numId="26" w16cid:durableId="1591044139">
    <w:abstractNumId w:val="24"/>
  </w:num>
  <w:num w:numId="27" w16cid:durableId="1853454438">
    <w:abstractNumId w:val="13"/>
  </w:num>
  <w:num w:numId="28" w16cid:durableId="1773158953">
    <w:abstractNumId w:val="28"/>
  </w:num>
  <w:num w:numId="29" w16cid:durableId="707025671">
    <w:abstractNumId w:val="26"/>
  </w:num>
  <w:num w:numId="30" w16cid:durableId="11722634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38C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689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45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gvh/magyar-compliance-akademia/magyar-compliance-akademia" TargetMode="External"/><Relationship Id="rId13" Type="http://schemas.openxmlformats.org/officeDocument/2006/relationships/hyperlink" Target="https://www.gvh.hu/sajtoszoba/sajtokozlemenyek/2025-os-sajtokozlemenyek/nyilt-levellel-fordultak-a-vilag-versenyhatosagai-a-legiforgalmi-szektor-szereploihe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5-os-sajtokozlemenyek/globalis-iranymutatas-a-zold-allitasok-jogszeru-hasznalataro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valtoztatott-gyakorlatan-a-poharvisszavalto-ceg-figyelmeztette-a-gv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vh.hu/sajtoszoba/sajtokozlemenyek/2024-es-sajtokozlemenyek/pet-palackokkal-kapcsolatos-zold-allitasokat-vizsgal-a-gv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nem-minden-zold-amirol-azt-allitjak" TargetMode="External"/><Relationship Id="rId14" Type="http://schemas.openxmlformats.org/officeDocument/2006/relationships/hyperlink" Target="https://www.gvh.hu/pfile/file?path=/szakmai_felhasznaloknak/tajekoztatok/szakmai_felhasznalok_tajekoztatok_zold-iranymutatas_201217&amp;inline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4632-8078-443A-808D-EA2121D8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</cp:lastModifiedBy>
  <cp:revision>3</cp:revision>
  <cp:lastPrinted>2023-09-29T09:12:00Z</cp:lastPrinted>
  <dcterms:created xsi:type="dcterms:W3CDTF">2025-05-26T13:22:00Z</dcterms:created>
  <dcterms:modified xsi:type="dcterms:W3CDTF">2025-05-26T13:24:00Z</dcterms:modified>
</cp:coreProperties>
</file>