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51B8" w14:textId="43306E5E" w:rsidR="00285779" w:rsidRPr="009923F4" w:rsidRDefault="009923F4" w:rsidP="00551FBD">
      <w:pPr>
        <w:tabs>
          <w:tab w:val="left" w:pos="567"/>
        </w:tabs>
        <w:spacing w:after="80"/>
        <w:ind w:left="0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 xml:space="preserve">Rigó Csaba Balázs: </w:t>
      </w:r>
      <w:r w:rsidR="00C40BFD" w:rsidRPr="00C40BFD">
        <w:rPr>
          <w:b/>
          <w:bCs/>
          <w:i/>
          <w:iCs/>
          <w:sz w:val="28"/>
          <w:szCs w:val="28"/>
        </w:rPr>
        <w:t>„</w:t>
      </w:r>
      <w:r w:rsidRPr="00C40BFD">
        <w:rPr>
          <w:b/>
          <w:bCs/>
          <w:i/>
          <w:iCs/>
          <w:sz w:val="28"/>
          <w:szCs w:val="28"/>
        </w:rPr>
        <w:t>A</w:t>
      </w:r>
      <w:r w:rsidR="003323B9" w:rsidRPr="00C40BFD">
        <w:rPr>
          <w:b/>
          <w:bCs/>
          <w:i/>
          <w:iCs/>
          <w:sz w:val="28"/>
          <w:szCs w:val="28"/>
        </w:rPr>
        <w:t xml:space="preserve"> GVH </w:t>
      </w:r>
      <w:r w:rsidR="0004418A">
        <w:rPr>
          <w:b/>
          <w:bCs/>
          <w:i/>
          <w:iCs/>
          <w:sz w:val="28"/>
          <w:szCs w:val="28"/>
        </w:rPr>
        <w:t xml:space="preserve">a </w:t>
      </w:r>
      <w:r w:rsidR="00473BF5">
        <w:rPr>
          <w:b/>
          <w:bCs/>
          <w:i/>
          <w:iCs/>
          <w:sz w:val="28"/>
          <w:szCs w:val="28"/>
        </w:rPr>
        <w:t xml:space="preserve">versenyjogban </w:t>
      </w:r>
      <w:r w:rsidR="003323B9" w:rsidRPr="00C40BFD">
        <w:rPr>
          <w:b/>
          <w:bCs/>
          <w:i/>
          <w:iCs/>
          <w:sz w:val="28"/>
          <w:szCs w:val="28"/>
        </w:rPr>
        <w:t>hidat képez kelet és nyugat között</w:t>
      </w:r>
      <w:r w:rsidR="00C40BFD" w:rsidRPr="00C40BFD">
        <w:rPr>
          <w:b/>
          <w:bCs/>
          <w:i/>
          <w:iCs/>
          <w:sz w:val="28"/>
          <w:szCs w:val="28"/>
        </w:rPr>
        <w:t>”</w:t>
      </w:r>
    </w:p>
    <w:p w14:paraId="080E1237" w14:textId="74943739" w:rsidR="0088284A" w:rsidRPr="00B947EE" w:rsidRDefault="003323B9" w:rsidP="00551FBD">
      <w:pPr>
        <w:tabs>
          <w:tab w:val="left" w:pos="567"/>
        </w:tabs>
        <w:spacing w:after="80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Magyarországon</w:t>
      </w:r>
      <w:r w:rsidR="009923F4">
        <w:rPr>
          <w:b/>
          <w:bCs/>
          <w:i/>
          <w:iCs/>
        </w:rPr>
        <w:t xml:space="preserve"> tanácskoztak</w:t>
      </w:r>
      <w:r>
        <w:rPr>
          <w:b/>
          <w:bCs/>
          <w:i/>
          <w:iCs/>
        </w:rPr>
        <w:t xml:space="preserve"> és közös nyilatkozatot írtak alá</w:t>
      </w:r>
      <w:r w:rsidR="009923F4">
        <w:rPr>
          <w:b/>
          <w:bCs/>
          <w:i/>
          <w:iCs/>
        </w:rPr>
        <w:t xml:space="preserve"> a </w:t>
      </w:r>
      <w:r>
        <w:rPr>
          <w:b/>
          <w:bCs/>
          <w:i/>
          <w:iCs/>
        </w:rPr>
        <w:t>t</w:t>
      </w:r>
      <w:r w:rsidR="009923F4">
        <w:rPr>
          <w:b/>
          <w:bCs/>
          <w:i/>
          <w:iCs/>
        </w:rPr>
        <w:t xml:space="preserve">ürk </w:t>
      </w:r>
      <w:r>
        <w:rPr>
          <w:b/>
          <w:bCs/>
          <w:i/>
          <w:iCs/>
        </w:rPr>
        <w:t>á</w:t>
      </w:r>
      <w:r w:rsidR="009923F4">
        <w:rPr>
          <w:b/>
          <w:bCs/>
          <w:i/>
          <w:iCs/>
        </w:rPr>
        <w:t>llamok</w:t>
      </w:r>
      <w:r>
        <w:rPr>
          <w:b/>
          <w:bCs/>
          <w:i/>
          <w:iCs/>
        </w:rPr>
        <w:t xml:space="preserve"> szervezetének</w:t>
      </w:r>
      <w:r w:rsidR="009923F4">
        <w:rPr>
          <w:b/>
          <w:bCs/>
          <w:i/>
          <w:iCs/>
        </w:rPr>
        <w:t xml:space="preserve"> versenyhatóságai</w:t>
      </w:r>
    </w:p>
    <w:p w14:paraId="19E3799F" w14:textId="70991708" w:rsidR="00060FBB" w:rsidRPr="00060FBB" w:rsidRDefault="00361831" w:rsidP="00551FBD">
      <w:pPr>
        <w:tabs>
          <w:tab w:val="left" w:pos="567"/>
        </w:tabs>
        <w:spacing w:after="80"/>
        <w:ind w:left="0"/>
        <w:rPr>
          <w:b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6244BF">
        <w:rPr>
          <w:b/>
        </w:rPr>
        <w:t>április 29.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bookmarkEnd w:id="0"/>
      <w:r w:rsidR="003323B9">
        <w:rPr>
          <w:bCs/>
        </w:rPr>
        <w:t xml:space="preserve"> </w:t>
      </w:r>
      <w:r w:rsidR="00F06B55" w:rsidRPr="00060FBB">
        <w:rPr>
          <w:b/>
        </w:rPr>
        <w:t>A Gazdasági Versenyhivatal (GVH) székházában tartottak elnöki szintű találkozó</w:t>
      </w:r>
      <w:r w:rsidR="00E2412E">
        <w:rPr>
          <w:b/>
        </w:rPr>
        <w:t>t</w:t>
      </w:r>
      <w:r w:rsidR="00F06B55" w:rsidRPr="00060FBB">
        <w:rPr>
          <w:b/>
        </w:rPr>
        <w:t xml:space="preserve"> a Türk Államok Szervezetének (TÁSZ) versenyhatóságai</w:t>
      </w:r>
      <w:r w:rsidR="00060FBB" w:rsidRPr="00060FBB">
        <w:rPr>
          <w:b/>
        </w:rPr>
        <w:t xml:space="preserve">. </w:t>
      </w:r>
      <w:r w:rsidR="00060FBB">
        <w:rPr>
          <w:b/>
        </w:rPr>
        <w:t>A szakmai egyeztetésen részt vettek az azeri, a kazah, a kirgiz, a török</w:t>
      </w:r>
      <w:r w:rsidR="00E2412E">
        <w:rPr>
          <w:b/>
        </w:rPr>
        <w:t xml:space="preserve">, az </w:t>
      </w:r>
      <w:r w:rsidR="00060FBB">
        <w:rPr>
          <w:b/>
        </w:rPr>
        <w:t>üzbég és az együttműködésben megfigyelői státusszal rendelkező magyar nemzeti versenyhatóság vezetői. Rigó Csaba Balázs, a GVH elnöke hangsúlyozta: „</w:t>
      </w:r>
      <w:r w:rsidR="00473BF5" w:rsidRPr="002C5536">
        <w:rPr>
          <w:b/>
          <w:i/>
          <w:iCs/>
        </w:rPr>
        <w:t>N</w:t>
      </w:r>
      <w:r w:rsidR="00060FBB" w:rsidRPr="00060FBB">
        <w:rPr>
          <w:b/>
          <w:i/>
          <w:iCs/>
        </w:rPr>
        <w:t>yitottságra és kölcsönös párbeszédre törek</w:t>
      </w:r>
      <w:r w:rsidR="00473BF5">
        <w:rPr>
          <w:b/>
          <w:i/>
          <w:iCs/>
        </w:rPr>
        <w:t>sz</w:t>
      </w:r>
      <w:r w:rsidR="00060FBB" w:rsidRPr="00060FBB">
        <w:rPr>
          <w:b/>
          <w:i/>
          <w:iCs/>
        </w:rPr>
        <w:t>ünk</w:t>
      </w:r>
      <w:r w:rsidR="00473BF5">
        <w:rPr>
          <w:b/>
          <w:i/>
          <w:iCs/>
        </w:rPr>
        <w:t xml:space="preserve"> </w:t>
      </w:r>
      <w:r w:rsidR="00341AB6">
        <w:rPr>
          <w:b/>
          <w:i/>
          <w:iCs/>
        </w:rPr>
        <w:t>a Türk Államok Szervezetének versenyhatóságaival</w:t>
      </w:r>
      <w:r w:rsidR="00060FBB" w:rsidRPr="00060FBB">
        <w:rPr>
          <w:b/>
          <w:i/>
          <w:iCs/>
        </w:rPr>
        <w:t>.”</w:t>
      </w:r>
      <w:r w:rsidR="00060FBB">
        <w:rPr>
          <w:b/>
        </w:rPr>
        <w:t xml:space="preserve"> A szakmai egyeztetésen olyan témák kerültek napirendre</w:t>
      </w:r>
      <w:r w:rsidR="009C6EEF">
        <w:rPr>
          <w:b/>
        </w:rPr>
        <w:t>,</w:t>
      </w:r>
      <w:r w:rsidR="00060FBB">
        <w:rPr>
          <w:b/>
        </w:rPr>
        <w:t xml:space="preserve"> mint a mesterséges intelligencia</w:t>
      </w:r>
      <w:r w:rsidR="00B1567E">
        <w:rPr>
          <w:b/>
        </w:rPr>
        <w:t xml:space="preserve"> alapú</w:t>
      </w:r>
      <w:r w:rsidR="00060FBB">
        <w:rPr>
          <w:b/>
        </w:rPr>
        <w:t xml:space="preserve"> technológiák térnyerése, </w:t>
      </w:r>
      <w:r w:rsidR="00B1567E">
        <w:rPr>
          <w:b/>
        </w:rPr>
        <w:t xml:space="preserve">és </w:t>
      </w:r>
      <w:r w:rsidR="00060FBB">
        <w:rPr>
          <w:b/>
        </w:rPr>
        <w:t>a kartellek elleni eredményes fellépés</w:t>
      </w:r>
      <w:r w:rsidR="00E2412E">
        <w:rPr>
          <w:b/>
        </w:rPr>
        <w:t>, de szó esett</w:t>
      </w:r>
      <w:r w:rsidR="00060FBB">
        <w:rPr>
          <w:b/>
        </w:rPr>
        <w:t xml:space="preserve"> az infláció elleni küzdelem</w:t>
      </w:r>
      <w:r w:rsidR="00E2412E">
        <w:rPr>
          <w:b/>
        </w:rPr>
        <w:t>ről is.</w:t>
      </w:r>
    </w:p>
    <w:p w14:paraId="6F6D06A3" w14:textId="2E742ADF" w:rsidR="00B24B3D" w:rsidRDefault="009923F4" w:rsidP="00551FBD">
      <w:pPr>
        <w:tabs>
          <w:tab w:val="left" w:pos="567"/>
        </w:tabs>
        <w:spacing w:after="80"/>
        <w:ind w:left="0"/>
      </w:pPr>
      <w:r>
        <w:t xml:space="preserve">A Türk Államok Szervezete (TÁSZ) egyes töröknyelvű országokat tömörítő nemzetközi szervezet, amelyet 2009. október 3-án alapítottak. Jelenlegi tagjai: Azerbajdzsán, Kazahsztán, Kirgizisztán, Törökország és Üzbegisztán. Magyarország 2018. szeptember 3-a óta megfigyelői státusszal rendelkezik a tanácsban. </w:t>
      </w:r>
      <w:r w:rsidRPr="009923F4">
        <w:t xml:space="preserve">A török versenyhatóság kezdeményezése alapján </w:t>
      </w:r>
      <w:hyperlink r:id="rId8" w:history="1">
        <w:r w:rsidRPr="009923F4">
          <w:rPr>
            <w:rStyle w:val="Hiperhivatkozs"/>
          </w:rPr>
          <w:t>2024. január 23-án Isztambulban</w:t>
        </w:r>
      </w:hyperlink>
      <w:r w:rsidRPr="009923F4">
        <w:t xml:space="preserve"> létrejött a TÁSZ tagállamok versenyhatóságai közötti formális együttműködés platformja</w:t>
      </w:r>
      <w:r>
        <w:t>, melynek célja a többek között:</w:t>
      </w:r>
    </w:p>
    <w:p w14:paraId="169132B2" w14:textId="2A0A4681" w:rsidR="009923F4" w:rsidRPr="009923F4" w:rsidRDefault="009923F4" w:rsidP="00551FBD">
      <w:pPr>
        <w:pStyle w:val="Listaszerbekezds"/>
        <w:numPr>
          <w:ilvl w:val="0"/>
          <w:numId w:val="12"/>
        </w:numPr>
        <w:tabs>
          <w:tab w:val="left" w:pos="567"/>
        </w:tabs>
        <w:spacing w:after="80"/>
        <w:ind w:left="714" w:hanging="357"/>
        <w:rPr>
          <w:bCs/>
        </w:rPr>
      </w:pPr>
      <w:r>
        <w:t>az együttműködés előmozdítása a versenypolitikai jogérvényesítés területén,</w:t>
      </w:r>
    </w:p>
    <w:p w14:paraId="088A58C1" w14:textId="12D865C4" w:rsidR="009923F4" w:rsidRPr="009923F4" w:rsidRDefault="009923F4" w:rsidP="00551FBD">
      <w:pPr>
        <w:pStyle w:val="Listaszerbekezds"/>
        <w:numPr>
          <w:ilvl w:val="0"/>
          <w:numId w:val="12"/>
        </w:numPr>
        <w:tabs>
          <w:tab w:val="left" w:pos="567"/>
        </w:tabs>
        <w:spacing w:after="80"/>
        <w:ind w:left="714" w:hanging="357"/>
        <w:rPr>
          <w:bCs/>
        </w:rPr>
      </w:pPr>
      <w:r>
        <w:t>kedvező feltételek megteremtése a regionális együttműködés fejlődéséhez,</w:t>
      </w:r>
      <w:r w:rsidR="00B1567E">
        <w:t xml:space="preserve"> </w:t>
      </w:r>
    </w:p>
    <w:p w14:paraId="7F489018" w14:textId="42210BCE" w:rsidR="009923F4" w:rsidRPr="009923F4" w:rsidRDefault="00B1567E" w:rsidP="00551FBD">
      <w:pPr>
        <w:pStyle w:val="Listaszerbekezds"/>
        <w:numPr>
          <w:ilvl w:val="0"/>
          <w:numId w:val="12"/>
        </w:numPr>
        <w:tabs>
          <w:tab w:val="left" w:pos="567"/>
        </w:tabs>
        <w:spacing w:after="80"/>
        <w:ind w:left="567" w:hanging="210"/>
        <w:rPr>
          <w:bCs/>
        </w:rPr>
      </w:pPr>
      <w:r>
        <w:t xml:space="preserve">illetve a </w:t>
      </w:r>
      <w:r w:rsidR="009923F4">
        <w:t>tudásmegosztás előmozdítása elsősorban a vizsgálati, szabályozási, jogérvényesítési és módszertani tapasztalatok területén.</w:t>
      </w:r>
    </w:p>
    <w:p w14:paraId="59FE6B30" w14:textId="3CAE2C1B" w:rsidR="00BA3514" w:rsidRPr="00BA3514" w:rsidRDefault="009923F4" w:rsidP="00551FBD">
      <w:pPr>
        <w:tabs>
          <w:tab w:val="left" w:pos="567"/>
        </w:tabs>
        <w:spacing w:after="80"/>
        <w:ind w:left="0"/>
        <w:rPr>
          <w:rStyle w:val="Kiemels2"/>
          <w:b w:val="0"/>
        </w:rPr>
      </w:pPr>
      <w:r>
        <w:rPr>
          <w:bCs/>
        </w:rPr>
        <w:t>A</w:t>
      </w:r>
      <w:r w:rsidR="009C6EEF">
        <w:rPr>
          <w:bCs/>
        </w:rPr>
        <w:t xml:space="preserve"> szakmai</w:t>
      </w:r>
      <w:r>
        <w:rPr>
          <w:bCs/>
        </w:rPr>
        <w:t xml:space="preserve"> együttműködéshez a Gazdasági Versenyhivatal is csatlakozott megfigyelő státusszal.</w:t>
      </w:r>
    </w:p>
    <w:bookmarkEnd w:id="1"/>
    <w:p w14:paraId="0FEED396" w14:textId="532B9345" w:rsidR="007B418E" w:rsidRDefault="00F664FF" w:rsidP="00551FBD">
      <w:pPr>
        <w:spacing w:after="8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A</w:t>
      </w:r>
      <w:r w:rsidR="00060FBB">
        <w:rPr>
          <w:rStyle w:val="Kiemels2"/>
          <w:rFonts w:eastAsiaTheme="majorEastAsia"/>
          <w:b w:val="0"/>
          <w:bCs w:val="0"/>
        </w:rPr>
        <w:t xml:space="preserve"> TÁSZ országok versenyhatóságai</w:t>
      </w:r>
      <w:r>
        <w:rPr>
          <w:rStyle w:val="Kiemels2"/>
          <w:rFonts w:eastAsiaTheme="majorEastAsia"/>
          <w:b w:val="0"/>
          <w:bCs w:val="0"/>
        </w:rPr>
        <w:t xml:space="preserve"> közötti együttműködés elmélyíté</w:t>
      </w:r>
      <w:r w:rsidR="00E2412E">
        <w:rPr>
          <w:rStyle w:val="Kiemels2"/>
          <w:rFonts w:eastAsiaTheme="majorEastAsia"/>
          <w:b w:val="0"/>
          <w:bCs w:val="0"/>
        </w:rPr>
        <w:t>se érdekében</w:t>
      </w:r>
      <w:r>
        <w:rPr>
          <w:rStyle w:val="Kiemels2"/>
          <w:rFonts w:eastAsiaTheme="majorEastAsia"/>
          <w:b w:val="0"/>
          <w:bCs w:val="0"/>
        </w:rPr>
        <w:t xml:space="preserve"> a GVH hivatalos elnöki</w:t>
      </w:r>
      <w:r w:rsidR="009C6EEF">
        <w:rPr>
          <w:rStyle w:val="Kiemels2"/>
          <w:rFonts w:eastAsiaTheme="majorEastAsia"/>
          <w:b w:val="0"/>
          <w:bCs w:val="0"/>
        </w:rPr>
        <w:t xml:space="preserve"> szintű</w:t>
      </w:r>
      <w:r>
        <w:rPr>
          <w:rStyle w:val="Kiemels2"/>
          <w:rFonts w:eastAsiaTheme="majorEastAsia"/>
          <w:b w:val="0"/>
          <w:bCs w:val="0"/>
        </w:rPr>
        <w:t xml:space="preserve"> találkozót szervezett </w:t>
      </w:r>
      <w:r w:rsidR="00341AB6">
        <w:rPr>
          <w:rStyle w:val="Kiemels2"/>
          <w:rFonts w:eastAsiaTheme="majorEastAsia"/>
          <w:b w:val="0"/>
          <w:bCs w:val="0"/>
        </w:rPr>
        <w:t>Magyarországon</w:t>
      </w:r>
      <w:r w:rsidR="009C6EEF">
        <w:rPr>
          <w:rStyle w:val="Kiemels2"/>
          <w:rFonts w:eastAsiaTheme="majorEastAsia"/>
          <w:b w:val="0"/>
          <w:bCs w:val="0"/>
        </w:rPr>
        <w:t>,</w:t>
      </w:r>
      <w:r>
        <w:rPr>
          <w:rStyle w:val="Kiemels2"/>
          <w:rFonts w:eastAsiaTheme="majorEastAsia"/>
          <w:b w:val="0"/>
          <w:bCs w:val="0"/>
        </w:rPr>
        <w:t xml:space="preserve"> 202</w:t>
      </w:r>
      <w:r w:rsidR="003323B9">
        <w:rPr>
          <w:rStyle w:val="Kiemels2"/>
          <w:rFonts w:eastAsiaTheme="majorEastAsia"/>
          <w:b w:val="0"/>
          <w:bCs w:val="0"/>
        </w:rPr>
        <w:t>5</w:t>
      </w:r>
      <w:r>
        <w:rPr>
          <w:rStyle w:val="Kiemels2"/>
          <w:rFonts w:eastAsiaTheme="majorEastAsia"/>
          <w:b w:val="0"/>
          <w:bCs w:val="0"/>
        </w:rPr>
        <w:t xml:space="preserve">. április 29-én. A rendezvényen – a magyar versenyhatóság mellett – részt vettek az azeri, a kazah, a kirgiz, a török </w:t>
      </w:r>
      <w:r w:rsidRPr="003323B9">
        <w:rPr>
          <w:rStyle w:val="Kiemels2"/>
          <w:rFonts w:eastAsiaTheme="majorEastAsia"/>
          <w:b w:val="0"/>
          <w:bCs w:val="0"/>
        </w:rPr>
        <w:t>és az üzbég</w:t>
      </w:r>
      <w:r>
        <w:rPr>
          <w:rStyle w:val="Kiemels2"/>
          <w:rFonts w:eastAsiaTheme="majorEastAsia"/>
          <w:b w:val="0"/>
          <w:bCs w:val="0"/>
        </w:rPr>
        <w:t xml:space="preserve"> versenyhatóság</w:t>
      </w:r>
      <w:r w:rsidR="007B418E">
        <w:rPr>
          <w:rStyle w:val="Kiemels2"/>
          <w:rFonts w:eastAsiaTheme="majorEastAsia"/>
          <w:b w:val="0"/>
          <w:bCs w:val="0"/>
        </w:rPr>
        <w:t xml:space="preserve"> elnök</w:t>
      </w:r>
      <w:r w:rsidR="00E2412E">
        <w:rPr>
          <w:rStyle w:val="Kiemels2"/>
          <w:rFonts w:eastAsiaTheme="majorEastAsia"/>
          <w:b w:val="0"/>
          <w:bCs w:val="0"/>
        </w:rPr>
        <w:t>ei</w:t>
      </w:r>
      <w:r w:rsidR="007B418E">
        <w:rPr>
          <w:rStyle w:val="Kiemels2"/>
          <w:rFonts w:eastAsiaTheme="majorEastAsia"/>
          <w:b w:val="0"/>
          <w:bCs w:val="0"/>
        </w:rPr>
        <w:t>, illetve</w:t>
      </w:r>
      <w:r>
        <w:rPr>
          <w:rStyle w:val="Kiemels2"/>
          <w:rFonts w:eastAsiaTheme="majorEastAsia"/>
          <w:b w:val="0"/>
          <w:bCs w:val="0"/>
        </w:rPr>
        <w:t xml:space="preserve"> magas szintű képviselői.</w:t>
      </w:r>
    </w:p>
    <w:p w14:paraId="1B087929" w14:textId="5E57DAF1" w:rsidR="007B418E" w:rsidRDefault="007B418E" w:rsidP="00551FBD">
      <w:pPr>
        <w:spacing w:after="80"/>
        <w:ind w:left="0"/>
        <w:rPr>
          <w:rStyle w:val="Kiemels2"/>
          <w:rFonts w:eastAsiaTheme="majorEastAsia"/>
          <w:b w:val="0"/>
          <w:bCs w:val="0"/>
          <w:i/>
          <w:iCs/>
        </w:rPr>
      </w:pPr>
      <w:r>
        <w:rPr>
          <w:rStyle w:val="Kiemels2"/>
          <w:rFonts w:eastAsiaTheme="majorEastAsia"/>
          <w:b w:val="0"/>
          <w:bCs w:val="0"/>
        </w:rPr>
        <w:t xml:space="preserve">Rigó Csaba Balázs, a GVH elnöke megnyitó beszédében hangsúlyozta: </w:t>
      </w:r>
      <w:r w:rsidRPr="007B418E">
        <w:rPr>
          <w:rStyle w:val="Kiemels2"/>
          <w:rFonts w:eastAsiaTheme="majorEastAsia"/>
          <w:b w:val="0"/>
          <w:bCs w:val="0"/>
          <w:i/>
          <w:iCs/>
        </w:rPr>
        <w:t xml:space="preserve">„Magyarország – így a magyar nemzeti versenyhatóság </w:t>
      </w:r>
      <w:r w:rsidR="00341AB6">
        <w:rPr>
          <w:rStyle w:val="Kiemels2"/>
          <w:rFonts w:eastAsiaTheme="majorEastAsia"/>
          <w:b w:val="0"/>
          <w:bCs w:val="0"/>
          <w:i/>
          <w:iCs/>
        </w:rPr>
        <w:t>a versenyjog területén</w:t>
      </w:r>
      <w:r w:rsidRPr="007B418E">
        <w:rPr>
          <w:rStyle w:val="Kiemels2"/>
          <w:rFonts w:eastAsiaTheme="majorEastAsia"/>
          <w:b w:val="0"/>
          <w:bCs w:val="0"/>
          <w:i/>
          <w:iCs/>
        </w:rPr>
        <w:t xml:space="preserve"> – hidat képez kelet és nyugat között. Törekszünk az együttműködésre,</w:t>
      </w:r>
      <w:r w:rsidR="00B1567E">
        <w:rPr>
          <w:rStyle w:val="Kiemels2"/>
          <w:rFonts w:eastAsiaTheme="majorEastAsia"/>
          <w:b w:val="0"/>
          <w:bCs w:val="0"/>
          <w:i/>
          <w:iCs/>
        </w:rPr>
        <w:t xml:space="preserve"> és</w:t>
      </w:r>
      <w:r w:rsidRPr="007B418E">
        <w:rPr>
          <w:rStyle w:val="Kiemels2"/>
          <w:rFonts w:eastAsiaTheme="majorEastAsia"/>
          <w:b w:val="0"/>
          <w:bCs w:val="0"/>
          <w:i/>
          <w:iCs/>
        </w:rPr>
        <w:t xml:space="preserve"> a</w:t>
      </w:r>
      <w:r w:rsidR="00341AB6">
        <w:rPr>
          <w:rStyle w:val="Kiemels2"/>
          <w:rFonts w:eastAsiaTheme="majorEastAsia"/>
          <w:b w:val="0"/>
          <w:bCs w:val="0"/>
          <w:i/>
          <w:iCs/>
        </w:rPr>
        <w:t xml:space="preserve">z egymás </w:t>
      </w:r>
      <w:r w:rsidRPr="007B418E">
        <w:rPr>
          <w:rStyle w:val="Kiemels2"/>
          <w:rFonts w:eastAsiaTheme="majorEastAsia"/>
          <w:b w:val="0"/>
          <w:bCs w:val="0"/>
          <w:i/>
          <w:iCs/>
        </w:rPr>
        <w:t>tisztelet</w:t>
      </w:r>
      <w:r w:rsidR="00341AB6">
        <w:rPr>
          <w:rStyle w:val="Kiemels2"/>
          <w:rFonts w:eastAsiaTheme="majorEastAsia"/>
          <w:b w:val="0"/>
          <w:bCs w:val="0"/>
          <w:i/>
          <w:iCs/>
        </w:rPr>
        <w:t>é</w:t>
      </w:r>
      <w:r w:rsidRPr="007B418E">
        <w:rPr>
          <w:rStyle w:val="Kiemels2"/>
          <w:rFonts w:eastAsiaTheme="majorEastAsia"/>
          <w:b w:val="0"/>
          <w:bCs w:val="0"/>
          <w:i/>
          <w:iCs/>
        </w:rPr>
        <w:t xml:space="preserve">n alapuló kölcsönös párbeszédre. Abban hiszünk, hogy a bezárkózás és a </w:t>
      </w:r>
      <w:proofErr w:type="spellStart"/>
      <w:r w:rsidRPr="007B418E">
        <w:rPr>
          <w:rStyle w:val="Kiemels2"/>
          <w:rFonts w:eastAsiaTheme="majorEastAsia"/>
          <w:b w:val="0"/>
          <w:bCs w:val="0"/>
          <w:i/>
          <w:iCs/>
        </w:rPr>
        <w:t>blokkosodás</w:t>
      </w:r>
      <w:proofErr w:type="spellEnd"/>
      <w:r w:rsidRPr="007B418E">
        <w:rPr>
          <w:rStyle w:val="Kiemels2"/>
          <w:rFonts w:eastAsiaTheme="majorEastAsia"/>
          <w:b w:val="0"/>
          <w:bCs w:val="0"/>
          <w:i/>
          <w:iCs/>
        </w:rPr>
        <w:t xml:space="preserve"> helyett a nyitottság és az összekapcsolódás segít</w:t>
      </w:r>
      <w:r>
        <w:rPr>
          <w:rStyle w:val="Kiemels2"/>
          <w:rFonts w:eastAsiaTheme="majorEastAsia"/>
          <w:b w:val="0"/>
          <w:bCs w:val="0"/>
          <w:i/>
          <w:iCs/>
        </w:rPr>
        <w:t>het</w:t>
      </w:r>
      <w:r w:rsidRPr="007B418E">
        <w:rPr>
          <w:rStyle w:val="Kiemels2"/>
          <w:rFonts w:eastAsiaTheme="majorEastAsia"/>
          <w:b w:val="0"/>
          <w:bCs w:val="0"/>
          <w:i/>
          <w:iCs/>
        </w:rPr>
        <w:t xml:space="preserve"> megtalálni a jó válaszokat a határokon átnyúló, globális kihívásokra.”</w:t>
      </w:r>
    </w:p>
    <w:p w14:paraId="055E0F70" w14:textId="7272EDAE" w:rsidR="00B1567E" w:rsidRDefault="00687371" w:rsidP="00B1567E">
      <w:pPr>
        <w:pStyle w:val="Default"/>
        <w:spacing w:after="80" w:line="276" w:lineRule="auto"/>
        <w:rPr>
          <w:i/>
        </w:rPr>
      </w:pPr>
      <w:r>
        <w:rPr>
          <w:rStyle w:val="Kiemels2"/>
          <w:rFonts w:eastAsiaTheme="majorEastAsia"/>
          <w:b w:val="0"/>
          <w:bCs w:val="0"/>
        </w:rPr>
        <w:t>A találkozó résztvevőit Illés Boglárka, a Kül</w:t>
      </w:r>
      <w:r w:rsidR="002D79B7">
        <w:rPr>
          <w:rStyle w:val="Kiemels2"/>
          <w:rFonts w:eastAsiaTheme="majorEastAsia"/>
          <w:b w:val="0"/>
          <w:bCs w:val="0"/>
        </w:rPr>
        <w:t xml:space="preserve">gazdasági és Külügyminisztérium (KKM) </w:t>
      </w:r>
      <w:r w:rsidR="002D79B7" w:rsidRPr="002D79B7">
        <w:rPr>
          <w:rStyle w:val="Kiemels2"/>
          <w:rFonts w:eastAsiaTheme="majorEastAsia"/>
          <w:b w:val="0"/>
          <w:bCs w:val="0"/>
        </w:rPr>
        <w:t>kétoldalú kapcsolatokért felelős államtitkár</w:t>
      </w:r>
      <w:r w:rsidR="002D79B7">
        <w:rPr>
          <w:rStyle w:val="Kiemels2"/>
          <w:rFonts w:eastAsiaTheme="majorEastAsia"/>
          <w:b w:val="0"/>
          <w:bCs w:val="0"/>
        </w:rPr>
        <w:t>a</w:t>
      </w:r>
      <w:r w:rsidR="00B1567E" w:rsidRPr="00B1567E">
        <w:rPr>
          <w:rStyle w:val="Kiemels2"/>
          <w:rFonts w:eastAsiaTheme="majorEastAsia"/>
          <w:b w:val="0"/>
          <w:bCs w:val="0"/>
        </w:rPr>
        <w:t xml:space="preserve"> </w:t>
      </w:r>
      <w:r w:rsidR="00B1567E">
        <w:rPr>
          <w:rStyle w:val="Kiemels2"/>
          <w:rFonts w:eastAsiaTheme="majorEastAsia"/>
          <w:b w:val="0"/>
          <w:bCs w:val="0"/>
        </w:rPr>
        <w:t>köszöntötte</w:t>
      </w:r>
      <w:r w:rsidR="002D79B7">
        <w:rPr>
          <w:rStyle w:val="Kiemels2"/>
          <w:rFonts w:eastAsiaTheme="majorEastAsia"/>
          <w:b w:val="0"/>
          <w:bCs w:val="0"/>
        </w:rPr>
        <w:t xml:space="preserve">. </w:t>
      </w:r>
      <w:r w:rsidR="002D79B7" w:rsidRPr="00B1567E">
        <w:rPr>
          <w:rStyle w:val="Kiemels2"/>
          <w:rFonts w:eastAsiaTheme="majorEastAsia"/>
          <w:b w:val="0"/>
          <w:bCs w:val="0"/>
        </w:rPr>
        <w:t xml:space="preserve">Kiemelte: </w:t>
      </w:r>
      <w:r w:rsidR="00B1567E">
        <w:rPr>
          <w:i/>
        </w:rPr>
        <w:t xml:space="preserve">„Magyarország „Keleti Nyitás Stratégiájának” fényében a Türk Államok Szervezete, annak tag- és megfigyelő államai, valamint kapcsolódó intézményei – mint például </w:t>
      </w:r>
      <w:r w:rsidR="00B1567E" w:rsidRPr="00C4704F">
        <w:rPr>
          <w:i/>
        </w:rPr>
        <w:t>a Türk Államok</w:t>
      </w:r>
      <w:r w:rsidR="00653C2A" w:rsidRPr="00C4704F">
        <w:rPr>
          <w:i/>
        </w:rPr>
        <w:t xml:space="preserve"> Szervezetének versenyhatósági közötti együttműködés</w:t>
      </w:r>
      <w:r w:rsidR="00B1567E">
        <w:rPr>
          <w:i/>
        </w:rPr>
        <w:t xml:space="preserve"> – egyre jelentősebb szerepet töltenek be Magyarország külpolitikájában. Kiemelten fontos elv számunkra, hogy kiegyensúlyozott, kölcsönösen előnyös és baráti kapcsolatokat ápoljunk mind keleti, mind nyugati partnereinkkel. (...) Örömmel látjuk, hogy Magyarország kapcsolatai a türk világgal folyamatosan fejlődnek, és nagy reményeket fűzünk ahhoz, hogy együttműködésünk a jövőben jelentős eredményeket hoz majd.”</w:t>
      </w:r>
    </w:p>
    <w:p w14:paraId="1ADC1970" w14:textId="17615154" w:rsidR="00687371" w:rsidRPr="00B1567E" w:rsidRDefault="00687371" w:rsidP="00B1567E">
      <w:pPr>
        <w:pStyle w:val="Default"/>
        <w:spacing w:after="80" w:line="276" w:lineRule="auto"/>
        <w:rPr>
          <w:rStyle w:val="Kiemels2"/>
          <w:b w:val="0"/>
          <w:bCs w:val="0"/>
          <w:i/>
          <w:szCs w:val="28"/>
        </w:rPr>
      </w:pPr>
      <w:r>
        <w:rPr>
          <w:rStyle w:val="Kiemels2"/>
          <w:rFonts w:eastAsiaTheme="majorEastAsia"/>
          <w:b w:val="0"/>
          <w:bCs w:val="0"/>
        </w:rPr>
        <w:lastRenderedPageBreak/>
        <w:t>A találkozón részt</w:t>
      </w:r>
      <w:r w:rsidR="002D79B7">
        <w:rPr>
          <w:rStyle w:val="Kiemels2"/>
          <w:rFonts w:eastAsiaTheme="majorEastAsia"/>
          <w:b w:val="0"/>
          <w:bCs w:val="0"/>
        </w:rPr>
        <w:t xml:space="preserve"> vett és beszédet mondott</w:t>
      </w:r>
      <w:r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Elnur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Baghirov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, az azeri-,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Zhenaly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Orozbaev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>, a kirgiz</w:t>
      </w:r>
      <w:r>
        <w:rPr>
          <w:rStyle w:val="Kiemels2"/>
          <w:rFonts w:eastAsiaTheme="majorEastAsia"/>
          <w:b w:val="0"/>
          <w:bCs w:val="0"/>
        </w:rPr>
        <w:t>-</w:t>
      </w:r>
      <w:r w:rsidRPr="00687371">
        <w:rPr>
          <w:rStyle w:val="Kiemels2"/>
          <w:rFonts w:eastAsiaTheme="majorEastAsia"/>
          <w:b w:val="0"/>
          <w:bCs w:val="0"/>
        </w:rPr>
        <w:t xml:space="preserve"> és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Birol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Küle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 a török versenyhatóság elnöke,</w:t>
      </w:r>
      <w:r w:rsidR="00D23D86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="00D23D86" w:rsidRPr="00687371">
        <w:rPr>
          <w:rStyle w:val="Kiemels2"/>
          <w:rFonts w:eastAsiaTheme="majorEastAsia"/>
          <w:b w:val="0"/>
          <w:bCs w:val="0"/>
        </w:rPr>
        <w:t>Bolat</w:t>
      </w:r>
      <w:proofErr w:type="spellEnd"/>
      <w:r w:rsidR="00D23D86" w:rsidRPr="00687371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="00D23D86" w:rsidRPr="00687371">
        <w:rPr>
          <w:rStyle w:val="Kiemels2"/>
          <w:rFonts w:eastAsiaTheme="majorEastAsia"/>
          <w:b w:val="0"/>
          <w:bCs w:val="0"/>
        </w:rPr>
        <w:t>Sambetov</w:t>
      </w:r>
      <w:proofErr w:type="spellEnd"/>
      <w:r w:rsidR="00D23D86" w:rsidRPr="00687371">
        <w:rPr>
          <w:rStyle w:val="Kiemels2"/>
          <w:rFonts w:eastAsiaTheme="majorEastAsia"/>
          <w:b w:val="0"/>
          <w:bCs w:val="0"/>
        </w:rPr>
        <w:t>, a kazah-</w:t>
      </w:r>
      <w:r w:rsidR="00D23D86">
        <w:rPr>
          <w:rStyle w:val="Kiemels2"/>
          <w:rFonts w:eastAsiaTheme="majorEastAsia"/>
          <w:b w:val="0"/>
          <w:bCs w:val="0"/>
        </w:rPr>
        <w:t xml:space="preserve"> és</w:t>
      </w:r>
      <w:r w:rsidRPr="00687371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Farruh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Karabayev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, az üzbég versenyhatóság elnökhelyettese, továbbá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Kubanychbek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687371">
        <w:rPr>
          <w:rStyle w:val="Kiemels2"/>
          <w:rFonts w:eastAsiaTheme="majorEastAsia"/>
          <w:b w:val="0"/>
          <w:bCs w:val="0"/>
        </w:rPr>
        <w:t>Omuraliev</w:t>
      </w:r>
      <w:proofErr w:type="spellEnd"/>
      <w:r w:rsidRPr="00687371">
        <w:rPr>
          <w:rStyle w:val="Kiemels2"/>
          <w:rFonts w:eastAsiaTheme="majorEastAsia"/>
          <w:b w:val="0"/>
          <w:bCs w:val="0"/>
        </w:rPr>
        <w:t xml:space="preserve">, a </w:t>
      </w:r>
      <w:r w:rsidR="007B129B">
        <w:rPr>
          <w:rStyle w:val="Kiemels2"/>
          <w:rFonts w:eastAsiaTheme="majorEastAsia"/>
          <w:b w:val="0"/>
          <w:bCs w:val="0"/>
        </w:rPr>
        <w:t>TÁSZ</w:t>
      </w:r>
      <w:r w:rsidRPr="00687371">
        <w:rPr>
          <w:rStyle w:val="Kiemels2"/>
          <w:rFonts w:eastAsiaTheme="majorEastAsia"/>
          <w:b w:val="0"/>
          <w:bCs w:val="0"/>
        </w:rPr>
        <w:t xml:space="preserve"> </w:t>
      </w:r>
      <w:r w:rsidR="00E2412E">
        <w:rPr>
          <w:rStyle w:val="Kiemels2"/>
          <w:rFonts w:eastAsiaTheme="majorEastAsia"/>
          <w:b w:val="0"/>
          <w:bCs w:val="0"/>
        </w:rPr>
        <w:t xml:space="preserve">kirgiz nemzetiségű </w:t>
      </w:r>
      <w:r w:rsidRPr="00687371">
        <w:rPr>
          <w:rStyle w:val="Kiemels2"/>
          <w:rFonts w:eastAsiaTheme="majorEastAsia"/>
          <w:b w:val="0"/>
          <w:bCs w:val="0"/>
        </w:rPr>
        <w:t>főtitkára</w:t>
      </w:r>
      <w:r w:rsidR="002D79B7">
        <w:rPr>
          <w:rStyle w:val="Kiemels2"/>
          <w:rFonts w:eastAsiaTheme="majorEastAsia"/>
          <w:b w:val="0"/>
          <w:bCs w:val="0"/>
        </w:rPr>
        <w:t xml:space="preserve">. </w:t>
      </w:r>
      <w:r w:rsidR="00E2412E">
        <w:rPr>
          <w:rStyle w:val="Kiemels2"/>
          <w:rFonts w:eastAsiaTheme="majorEastAsia"/>
          <w:b w:val="0"/>
          <w:bCs w:val="0"/>
        </w:rPr>
        <w:t>Az eseményen j</w:t>
      </w:r>
      <w:r w:rsidR="002D79B7">
        <w:rPr>
          <w:rStyle w:val="Kiemels2"/>
          <w:rFonts w:eastAsiaTheme="majorEastAsia"/>
          <w:b w:val="0"/>
          <w:bCs w:val="0"/>
        </w:rPr>
        <w:t xml:space="preserve">elen volt </w:t>
      </w:r>
      <w:proofErr w:type="spellStart"/>
      <w:r w:rsidR="002D79B7">
        <w:rPr>
          <w:rStyle w:val="Kiemels2"/>
          <w:rFonts w:eastAsiaTheme="majorEastAsia"/>
          <w:b w:val="0"/>
          <w:bCs w:val="0"/>
        </w:rPr>
        <w:t>Hendrich</w:t>
      </w:r>
      <w:proofErr w:type="spellEnd"/>
      <w:r w:rsidR="002D79B7">
        <w:rPr>
          <w:rStyle w:val="Kiemels2"/>
          <w:rFonts w:eastAsiaTheme="majorEastAsia"/>
          <w:b w:val="0"/>
          <w:bCs w:val="0"/>
        </w:rPr>
        <w:t xml:space="preserve"> Balázs, </w:t>
      </w:r>
      <w:r w:rsidR="007B129B">
        <w:rPr>
          <w:rStyle w:val="Kiemels2"/>
          <w:rFonts w:eastAsiaTheme="majorEastAsia"/>
          <w:b w:val="0"/>
          <w:bCs w:val="0"/>
        </w:rPr>
        <w:t>a TÁSZ</w:t>
      </w:r>
      <w:r w:rsidR="002D79B7" w:rsidRPr="002D79B7">
        <w:rPr>
          <w:rStyle w:val="Kiemels2"/>
          <w:rFonts w:eastAsiaTheme="majorEastAsia"/>
          <w:b w:val="0"/>
          <w:bCs w:val="0"/>
        </w:rPr>
        <w:t xml:space="preserve"> </w:t>
      </w:r>
      <w:r w:rsidR="002D79B7">
        <w:rPr>
          <w:rStyle w:val="Kiemels2"/>
          <w:rFonts w:eastAsiaTheme="majorEastAsia"/>
          <w:b w:val="0"/>
          <w:bCs w:val="0"/>
        </w:rPr>
        <w:t>m</w:t>
      </w:r>
      <w:r w:rsidR="002D79B7" w:rsidRPr="002D79B7">
        <w:rPr>
          <w:rStyle w:val="Kiemels2"/>
          <w:rFonts w:eastAsiaTheme="majorEastAsia"/>
          <w:b w:val="0"/>
          <w:bCs w:val="0"/>
        </w:rPr>
        <w:t>agyarországi</w:t>
      </w:r>
      <w:r w:rsidR="002D79B7">
        <w:rPr>
          <w:rStyle w:val="Kiemels2"/>
          <w:rFonts w:eastAsiaTheme="majorEastAsia"/>
          <w:b w:val="0"/>
          <w:bCs w:val="0"/>
        </w:rPr>
        <w:t xml:space="preserve"> képviseletvezetője, illetve </w:t>
      </w:r>
      <w:r>
        <w:rPr>
          <w:rStyle w:val="Kiemels2"/>
          <w:rFonts w:eastAsiaTheme="majorEastAsia"/>
          <w:b w:val="0"/>
          <w:bCs w:val="0"/>
        </w:rPr>
        <w:t>az érintett országok magyarországi nagykövet</w:t>
      </w:r>
      <w:r w:rsidR="002D79B7">
        <w:rPr>
          <w:rStyle w:val="Kiemels2"/>
          <w:rFonts w:eastAsiaTheme="majorEastAsia"/>
          <w:b w:val="0"/>
          <w:bCs w:val="0"/>
        </w:rPr>
        <w:t xml:space="preserve">ségeinek </w:t>
      </w:r>
      <w:r w:rsidR="00E2412E">
        <w:rPr>
          <w:rStyle w:val="Kiemels2"/>
          <w:rFonts w:eastAsiaTheme="majorEastAsia"/>
          <w:b w:val="0"/>
          <w:bCs w:val="0"/>
        </w:rPr>
        <w:t>diplomatái</w:t>
      </w:r>
      <w:r w:rsidR="002D79B7">
        <w:rPr>
          <w:rStyle w:val="Kiemels2"/>
          <w:rFonts w:eastAsiaTheme="majorEastAsia"/>
          <w:b w:val="0"/>
          <w:bCs w:val="0"/>
        </w:rPr>
        <w:t xml:space="preserve"> is.</w:t>
      </w:r>
    </w:p>
    <w:p w14:paraId="19F2B7AB" w14:textId="0AE5DFA1" w:rsidR="00CA03D0" w:rsidRDefault="007B418E" w:rsidP="00551FBD">
      <w:pPr>
        <w:spacing w:after="8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A szakmai egyeztetés</w:t>
      </w:r>
      <w:r w:rsidR="00687371">
        <w:rPr>
          <w:rStyle w:val="Kiemels2"/>
          <w:rFonts w:eastAsiaTheme="majorEastAsia"/>
          <w:b w:val="0"/>
          <w:bCs w:val="0"/>
        </w:rPr>
        <w:t xml:space="preserve"> keretében</w:t>
      </w:r>
      <w:r w:rsidR="00F664FF">
        <w:rPr>
          <w:rStyle w:val="Kiemels2"/>
          <w:rFonts w:eastAsiaTheme="majorEastAsia"/>
          <w:b w:val="0"/>
          <w:bCs w:val="0"/>
        </w:rPr>
        <w:t xml:space="preserve"> két fő témakört vitattak meg a résztvevők. </w:t>
      </w:r>
      <w:r w:rsidR="006244BF">
        <w:rPr>
          <w:rStyle w:val="Kiemels2"/>
          <w:rFonts w:eastAsiaTheme="majorEastAsia"/>
          <w:b w:val="0"/>
          <w:bCs w:val="0"/>
        </w:rPr>
        <w:t>Elsőként a mesterséges intelligencia</w:t>
      </w:r>
      <w:r>
        <w:rPr>
          <w:rStyle w:val="Kiemels2"/>
          <w:rFonts w:eastAsiaTheme="majorEastAsia"/>
          <w:b w:val="0"/>
          <w:bCs w:val="0"/>
        </w:rPr>
        <w:t xml:space="preserve"> (MI)</w:t>
      </w:r>
      <w:r w:rsidR="006244BF">
        <w:rPr>
          <w:rStyle w:val="Kiemels2"/>
          <w:rFonts w:eastAsiaTheme="majorEastAsia"/>
          <w:b w:val="0"/>
          <w:bCs w:val="0"/>
        </w:rPr>
        <w:t xml:space="preserve"> versenypolitikai vetületeit, kérdéseit és tapasztalatait járták körbe</w:t>
      </w:r>
      <w:r>
        <w:rPr>
          <w:rStyle w:val="Kiemels2"/>
          <w:rFonts w:eastAsiaTheme="majorEastAsia"/>
          <w:b w:val="0"/>
          <w:bCs w:val="0"/>
        </w:rPr>
        <w:t xml:space="preserve">. A résztvevők megismerhették </w:t>
      </w:r>
      <w:hyperlink r:id="rId9" w:history="1">
        <w:r w:rsidRPr="007B418E">
          <w:rPr>
            <w:rStyle w:val="Hiperhivatkozs"/>
            <w:rFonts w:eastAsiaTheme="majorEastAsia"/>
          </w:rPr>
          <w:t>a GVH 2024-ben elvégzett átfogó piackutatását</w:t>
        </w:r>
      </w:hyperlink>
      <w:r>
        <w:rPr>
          <w:rStyle w:val="Kiemels2"/>
          <w:rFonts w:eastAsiaTheme="majorEastAsia"/>
          <w:b w:val="0"/>
          <w:bCs w:val="0"/>
        </w:rPr>
        <w:t xml:space="preserve"> a MI technológiák versenyjogi, versenyképességi és fogyasztóvédelmi aspektusairól. A</w:t>
      </w:r>
      <w:r w:rsidR="006244BF">
        <w:rPr>
          <w:rStyle w:val="Kiemels2"/>
          <w:rFonts w:eastAsiaTheme="majorEastAsia"/>
          <w:b w:val="0"/>
          <w:bCs w:val="0"/>
        </w:rPr>
        <w:t xml:space="preserve"> rendezvény második felében </w:t>
      </w:r>
      <w:hyperlink r:id="rId10" w:history="1">
        <w:r w:rsidR="006244BF" w:rsidRPr="00551FBD">
          <w:rPr>
            <w:rStyle w:val="Hiperhivatkozs"/>
            <w:rFonts w:eastAsiaTheme="majorEastAsia"/>
          </w:rPr>
          <w:t xml:space="preserve">a </w:t>
        </w:r>
        <w:r w:rsidRPr="00551FBD">
          <w:rPr>
            <w:rStyle w:val="Hiperhivatkozs"/>
            <w:rFonts w:eastAsiaTheme="majorEastAsia"/>
          </w:rPr>
          <w:t>kartellek elleni küzdelem került a fókuszba</w:t>
        </w:r>
      </w:hyperlink>
      <w:r>
        <w:rPr>
          <w:rStyle w:val="Kiemels2"/>
          <w:rFonts w:eastAsiaTheme="majorEastAsia"/>
          <w:b w:val="0"/>
          <w:bCs w:val="0"/>
        </w:rPr>
        <w:t>. A tiltott versenykorlátozó megállapodások feltárása terén</w:t>
      </w:r>
      <w:r w:rsidR="006244BF">
        <w:rPr>
          <w:rStyle w:val="Kiemels2"/>
          <w:rFonts w:eastAsiaTheme="majorEastAsia"/>
          <w:b w:val="0"/>
          <w:bCs w:val="0"/>
        </w:rPr>
        <w:t xml:space="preserve"> gyűjtött tapasztalatokat osztották meg egymással a versenyhatóságok képviselői.</w:t>
      </w:r>
    </w:p>
    <w:p w14:paraId="097B0081" w14:textId="3B0BEA5B" w:rsidR="009C6EEF" w:rsidRDefault="00551FBD" w:rsidP="00551FBD">
      <w:pPr>
        <w:spacing w:after="8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Az eszmecsere keretében szó esett még az inflációs sokkok okozta kihívásokról</w:t>
      </w:r>
      <w:r w:rsidR="00E2412E">
        <w:rPr>
          <w:rStyle w:val="Kiemels2"/>
          <w:rFonts w:eastAsiaTheme="majorEastAsia"/>
          <w:b w:val="0"/>
          <w:bCs w:val="0"/>
        </w:rPr>
        <w:t xml:space="preserve"> is</w:t>
      </w:r>
      <w:r>
        <w:rPr>
          <w:rStyle w:val="Kiemels2"/>
          <w:rFonts w:eastAsiaTheme="majorEastAsia"/>
          <w:b w:val="0"/>
          <w:bCs w:val="0"/>
        </w:rPr>
        <w:t>. A TÁSZ országok versenyhatóság</w:t>
      </w:r>
      <w:r w:rsidR="007B129B">
        <w:rPr>
          <w:rStyle w:val="Kiemels2"/>
          <w:rFonts w:eastAsiaTheme="majorEastAsia"/>
          <w:b w:val="0"/>
          <w:bCs w:val="0"/>
        </w:rPr>
        <w:t>a</w:t>
      </w:r>
      <w:r>
        <w:rPr>
          <w:rStyle w:val="Kiemels2"/>
          <w:rFonts w:eastAsiaTheme="majorEastAsia"/>
          <w:b w:val="0"/>
          <w:bCs w:val="0"/>
        </w:rPr>
        <w:t xml:space="preserve">inak képviselői megismerhették </w:t>
      </w:r>
      <w:hyperlink r:id="rId11" w:history="1">
        <w:r w:rsidRPr="009C6EEF">
          <w:rPr>
            <w:rStyle w:val="Hiperhivatkozs"/>
            <w:rFonts w:eastAsiaTheme="majorEastAsia"/>
          </w:rPr>
          <w:t>a GVH gyorsított ágazati vizsgálatainak</w:t>
        </w:r>
        <w:r w:rsidR="009C6EEF" w:rsidRPr="009C6EEF">
          <w:rPr>
            <w:rStyle w:val="Hiperhivatkozs"/>
            <w:rFonts w:eastAsiaTheme="majorEastAsia"/>
          </w:rPr>
          <w:t xml:space="preserve"> irányait és eddigi</w:t>
        </w:r>
        <w:r w:rsidRPr="009C6EEF">
          <w:rPr>
            <w:rStyle w:val="Hiperhivatkozs"/>
            <w:rFonts w:eastAsiaTheme="majorEastAsia"/>
          </w:rPr>
          <w:t xml:space="preserve"> tapasztalatait</w:t>
        </w:r>
      </w:hyperlink>
      <w:r>
        <w:rPr>
          <w:rStyle w:val="Kiemels2"/>
          <w:rFonts w:eastAsiaTheme="majorEastAsia"/>
          <w:b w:val="0"/>
          <w:bCs w:val="0"/>
        </w:rPr>
        <w:t xml:space="preserve">, illetve </w:t>
      </w:r>
      <w:hyperlink r:id="rId12" w:history="1">
        <w:r w:rsidRPr="009C6EEF">
          <w:rPr>
            <w:rStyle w:val="Hiperhivatkozs"/>
            <w:rFonts w:eastAsiaTheme="majorEastAsia"/>
          </w:rPr>
          <w:t>a GVH által működtett online Árfigyelő rendszert is</w:t>
        </w:r>
      </w:hyperlink>
      <w:r>
        <w:rPr>
          <w:rStyle w:val="Kiemels2"/>
          <w:rFonts w:eastAsiaTheme="majorEastAsia"/>
          <w:b w:val="0"/>
          <w:bCs w:val="0"/>
        </w:rPr>
        <w:t xml:space="preserve">. </w:t>
      </w:r>
      <w:r w:rsidRPr="00C4704F">
        <w:rPr>
          <w:rStyle w:val="Kiemels2"/>
          <w:rFonts w:eastAsiaTheme="majorEastAsia"/>
          <w:b w:val="0"/>
          <w:bCs w:val="0"/>
        </w:rPr>
        <w:t xml:space="preserve">Több versenyhatóság képviselői is élénken érdeklődtek a piaci verseny </w:t>
      </w:r>
      <w:r w:rsidR="00B1567E" w:rsidRPr="00C4704F">
        <w:rPr>
          <w:rStyle w:val="Kiemels2"/>
          <w:rFonts w:eastAsiaTheme="majorEastAsia"/>
          <w:b w:val="0"/>
          <w:bCs w:val="0"/>
        </w:rPr>
        <w:t>intenzitását</w:t>
      </w:r>
      <w:r w:rsidRPr="00C4704F">
        <w:rPr>
          <w:rStyle w:val="Kiemels2"/>
          <w:rFonts w:eastAsiaTheme="majorEastAsia"/>
          <w:b w:val="0"/>
          <w:bCs w:val="0"/>
        </w:rPr>
        <w:t xml:space="preserve">, illetve az árak átláthatóságát </w:t>
      </w:r>
      <w:r w:rsidR="00E2412E" w:rsidRPr="00C4704F">
        <w:rPr>
          <w:rStyle w:val="Kiemels2"/>
          <w:rFonts w:eastAsiaTheme="majorEastAsia"/>
          <w:b w:val="0"/>
          <w:bCs w:val="0"/>
        </w:rPr>
        <w:t xml:space="preserve">erősítő </w:t>
      </w:r>
      <w:r w:rsidRPr="00C4704F">
        <w:rPr>
          <w:rStyle w:val="Kiemels2"/>
          <w:rFonts w:eastAsiaTheme="majorEastAsia"/>
          <w:b w:val="0"/>
          <w:bCs w:val="0"/>
        </w:rPr>
        <w:t xml:space="preserve">magyar </w:t>
      </w:r>
      <w:r w:rsidR="00341AB6" w:rsidRPr="00C4704F">
        <w:rPr>
          <w:rStyle w:val="Kiemels2"/>
          <w:rFonts w:eastAsiaTheme="majorEastAsia"/>
          <w:b w:val="0"/>
          <w:bCs w:val="0"/>
        </w:rPr>
        <w:t>megoldások</w:t>
      </w:r>
      <w:r w:rsidRPr="00C4704F">
        <w:rPr>
          <w:rStyle w:val="Kiemels2"/>
          <w:rFonts w:eastAsiaTheme="majorEastAsia"/>
          <w:b w:val="0"/>
          <w:bCs w:val="0"/>
        </w:rPr>
        <w:t xml:space="preserve"> iránt.</w:t>
      </w:r>
    </w:p>
    <w:p w14:paraId="0134E0E5" w14:textId="7ED82EE1" w:rsidR="006244BF" w:rsidRDefault="00551FBD" w:rsidP="009C6EEF">
      <w:pPr>
        <w:spacing w:after="8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A magyarországi elnöki szintű találkozó rész</w:t>
      </w:r>
      <w:r w:rsidR="009C6EEF">
        <w:rPr>
          <w:rStyle w:val="Kiemels2"/>
          <w:rFonts w:eastAsiaTheme="majorEastAsia"/>
          <w:b w:val="0"/>
          <w:bCs w:val="0"/>
        </w:rPr>
        <w:t>t</w:t>
      </w:r>
      <w:r>
        <w:rPr>
          <w:rStyle w:val="Kiemels2"/>
          <w:rFonts w:eastAsiaTheme="majorEastAsia"/>
          <w:b w:val="0"/>
          <w:bCs w:val="0"/>
        </w:rPr>
        <w:t>vevői egy közös nyilatkozatot is aláírtak. Ebben deklarálták, hogy a jövőben</w:t>
      </w:r>
      <w:r w:rsidR="009C6EEF">
        <w:rPr>
          <w:rStyle w:val="Kiemels2"/>
          <w:rFonts w:eastAsiaTheme="majorEastAsia"/>
          <w:b w:val="0"/>
          <w:bCs w:val="0"/>
        </w:rPr>
        <w:t xml:space="preserve"> is</w:t>
      </w:r>
      <w:r>
        <w:rPr>
          <w:rStyle w:val="Kiemels2"/>
          <w:rFonts w:eastAsiaTheme="majorEastAsia"/>
          <w:b w:val="0"/>
          <w:bCs w:val="0"/>
        </w:rPr>
        <w:t xml:space="preserve"> folytatják</w:t>
      </w:r>
      <w:r w:rsidR="009C6EEF">
        <w:rPr>
          <w:rStyle w:val="Kiemels2"/>
          <w:rFonts w:eastAsiaTheme="majorEastAsia"/>
          <w:b w:val="0"/>
          <w:bCs w:val="0"/>
        </w:rPr>
        <w:t>, illetve</w:t>
      </w:r>
      <w:r>
        <w:rPr>
          <w:rStyle w:val="Kiemels2"/>
          <w:rFonts w:eastAsiaTheme="majorEastAsia"/>
          <w:b w:val="0"/>
          <w:bCs w:val="0"/>
        </w:rPr>
        <w:t xml:space="preserve"> fokozzák a kölcsönös szakmai párbeszédet, amely során elsősorba</w:t>
      </w:r>
      <w:r w:rsidR="009C6EEF">
        <w:rPr>
          <w:rStyle w:val="Kiemels2"/>
          <w:rFonts w:eastAsiaTheme="majorEastAsia"/>
          <w:b w:val="0"/>
          <w:bCs w:val="0"/>
        </w:rPr>
        <w:t>n</w:t>
      </w:r>
      <w:r>
        <w:rPr>
          <w:rStyle w:val="Kiemels2"/>
          <w:rFonts w:eastAsiaTheme="majorEastAsia"/>
          <w:b w:val="0"/>
          <w:bCs w:val="0"/>
        </w:rPr>
        <w:t xml:space="preserve"> olyan területekre helyezik a hangsúlyt, </w:t>
      </w:r>
      <w:r w:rsidR="009C6EEF">
        <w:rPr>
          <w:rStyle w:val="Kiemels2"/>
          <w:rFonts w:eastAsiaTheme="majorEastAsia"/>
          <w:b w:val="0"/>
          <w:bCs w:val="0"/>
        </w:rPr>
        <w:t xml:space="preserve">amelyek hozzájárulnak a versenypolitikai együttműködésben résztvevő országok gazdasági versenyképességének, illetve </w:t>
      </w:r>
      <w:r w:rsidR="008B23A0">
        <w:rPr>
          <w:rStyle w:val="Kiemels2"/>
          <w:rFonts w:eastAsiaTheme="majorEastAsia"/>
          <w:b w:val="0"/>
          <w:bCs w:val="0"/>
        </w:rPr>
        <w:t>-</w:t>
      </w:r>
      <w:r w:rsidR="009C6EEF">
        <w:rPr>
          <w:rStyle w:val="Kiemels2"/>
          <w:rFonts w:eastAsiaTheme="majorEastAsia"/>
          <w:b w:val="0"/>
          <w:bCs w:val="0"/>
        </w:rPr>
        <w:t xml:space="preserve">integrációjának, valamint társadalmi jólétének erősítéséhez. Különösen </w:t>
      </w:r>
      <w:r w:rsidR="00341AB6">
        <w:rPr>
          <w:rStyle w:val="Kiemels2"/>
          <w:rFonts w:eastAsiaTheme="majorEastAsia"/>
          <w:b w:val="0"/>
          <w:bCs w:val="0"/>
        </w:rPr>
        <w:t xml:space="preserve">is figyelnek </w:t>
      </w:r>
      <w:r w:rsidR="009C6EEF">
        <w:rPr>
          <w:rStyle w:val="Kiemels2"/>
          <w:rFonts w:eastAsiaTheme="majorEastAsia"/>
          <w:b w:val="0"/>
          <w:bCs w:val="0"/>
        </w:rPr>
        <w:t xml:space="preserve">a digitális tér kihívásaira és a </w:t>
      </w:r>
      <w:r w:rsidR="008B23A0">
        <w:rPr>
          <w:rStyle w:val="Kiemels2"/>
          <w:rFonts w:eastAsiaTheme="majorEastAsia"/>
          <w:b w:val="0"/>
          <w:bCs w:val="0"/>
        </w:rPr>
        <w:t>kiszolgáltatott fogyasztók, különösen a</w:t>
      </w:r>
      <w:r w:rsidR="002D79B7">
        <w:rPr>
          <w:rStyle w:val="Kiemels2"/>
          <w:rFonts w:eastAsiaTheme="majorEastAsia"/>
          <w:b w:val="0"/>
          <w:bCs w:val="0"/>
        </w:rPr>
        <w:t xml:space="preserve"> gyermekek</w:t>
      </w:r>
      <w:r w:rsidR="00341AB6">
        <w:rPr>
          <w:rStyle w:val="Kiemels2"/>
          <w:rFonts w:eastAsiaTheme="majorEastAsia"/>
          <w:b w:val="0"/>
          <w:bCs w:val="0"/>
        </w:rPr>
        <w:t xml:space="preserve">, idősek, betegek </w:t>
      </w:r>
      <w:r w:rsidR="002D79B7">
        <w:rPr>
          <w:rStyle w:val="Kiemels2"/>
          <w:rFonts w:eastAsiaTheme="majorEastAsia"/>
          <w:b w:val="0"/>
          <w:bCs w:val="0"/>
        </w:rPr>
        <w:t>és a</w:t>
      </w:r>
      <w:r w:rsidR="008B23A0">
        <w:rPr>
          <w:rStyle w:val="Kiemels2"/>
          <w:rFonts w:eastAsiaTheme="majorEastAsia"/>
          <w:b w:val="0"/>
          <w:bCs w:val="0"/>
        </w:rPr>
        <w:t xml:space="preserve"> családok védelmére.</w:t>
      </w:r>
    </w:p>
    <w:p w14:paraId="6BB36F4A" w14:textId="77777777" w:rsidR="005A062A" w:rsidRDefault="005A062A" w:rsidP="00675F74">
      <w:pPr>
        <w:spacing w:after="0"/>
        <w:ind w:left="0"/>
        <w:rPr>
          <w:rStyle w:val="Kiemels2"/>
          <w:rFonts w:eastAsiaTheme="majorEastAsia"/>
          <w:b w:val="0"/>
          <w:bCs w:val="0"/>
        </w:rPr>
      </w:pPr>
    </w:p>
    <w:p w14:paraId="46B5F357" w14:textId="0EB5B37D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 xml:space="preserve">GVH </w:t>
      </w:r>
      <w:r w:rsidR="00652602">
        <w:rPr>
          <w:b/>
          <w:bCs/>
        </w:rPr>
        <w:t>Kommunikáció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E2412E">
      <w:headerReference w:type="first" r:id="rId13"/>
      <w:footerReference w:type="first" r:id="rId14"/>
      <w:pgSz w:w="11906" w:h="16838"/>
      <w:pgMar w:top="964" w:right="964" w:bottom="964" w:left="96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4D5BC" w14:textId="77777777" w:rsidR="009F283E" w:rsidRDefault="009F283E">
      <w:pPr>
        <w:spacing w:after="0" w:line="240" w:lineRule="auto"/>
      </w:pPr>
      <w:r>
        <w:separator/>
      </w:r>
    </w:p>
  </w:endnote>
  <w:endnote w:type="continuationSeparator" w:id="0">
    <w:p w14:paraId="7EEAAA0E" w14:textId="77777777" w:rsidR="009F283E" w:rsidRDefault="009F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1AE86" w14:textId="77777777" w:rsidR="00B1567E" w:rsidRDefault="00B1567E">
    <w:pPr>
      <w:tabs>
        <w:tab w:val="left" w:pos="3226"/>
      </w:tabs>
      <w:rPr>
        <w:rFonts w:ascii="Arial" w:eastAsia="Arial" w:hAnsi="Arial" w:cs="Arial"/>
        <w:sz w:val="18"/>
        <w:szCs w:val="18"/>
      </w:rPr>
    </w:pPr>
  </w:p>
  <w:p w14:paraId="26D6C2FF" w14:textId="4A15AEDA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042D0" w14:textId="77777777" w:rsidR="009F283E" w:rsidRDefault="009F283E">
      <w:pPr>
        <w:spacing w:after="0" w:line="240" w:lineRule="auto"/>
      </w:pPr>
      <w:r>
        <w:separator/>
      </w:r>
    </w:p>
  </w:footnote>
  <w:footnote w:type="continuationSeparator" w:id="0">
    <w:p w14:paraId="5C37F276" w14:textId="77777777" w:rsidR="009F283E" w:rsidRDefault="009F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C2D4" w14:textId="5314C600" w:rsidR="00825E37" w:rsidRDefault="00736F52" w:rsidP="00345781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spacing w:after="360"/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22F95B06"/>
    <w:multiLevelType w:val="hybridMultilevel"/>
    <w:tmpl w:val="88DAB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7CEA"/>
    <w:multiLevelType w:val="hybridMultilevel"/>
    <w:tmpl w:val="D81C5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5652"/>
    <w:multiLevelType w:val="hybridMultilevel"/>
    <w:tmpl w:val="C5D86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C1F83"/>
    <w:multiLevelType w:val="hybridMultilevel"/>
    <w:tmpl w:val="5346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6410B"/>
    <w:multiLevelType w:val="hybridMultilevel"/>
    <w:tmpl w:val="FD80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745F"/>
    <w:multiLevelType w:val="hybridMultilevel"/>
    <w:tmpl w:val="BC7A176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9"/>
  </w:num>
  <w:num w:numId="4" w16cid:durableId="1159342447">
    <w:abstractNumId w:val="10"/>
  </w:num>
  <w:num w:numId="5" w16cid:durableId="1310868491">
    <w:abstractNumId w:val="0"/>
  </w:num>
  <w:num w:numId="6" w16cid:durableId="306517745">
    <w:abstractNumId w:val="8"/>
  </w:num>
  <w:num w:numId="7" w16cid:durableId="553851777">
    <w:abstractNumId w:val="6"/>
  </w:num>
  <w:num w:numId="8" w16cid:durableId="109249914">
    <w:abstractNumId w:val="7"/>
  </w:num>
  <w:num w:numId="9" w16cid:durableId="2054648442">
    <w:abstractNumId w:val="11"/>
  </w:num>
  <w:num w:numId="10" w16cid:durableId="1777679658">
    <w:abstractNumId w:val="5"/>
  </w:num>
  <w:num w:numId="11" w16cid:durableId="1332634074">
    <w:abstractNumId w:val="3"/>
  </w:num>
  <w:num w:numId="12" w16cid:durableId="1005325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15D60"/>
    <w:rsid w:val="00017781"/>
    <w:rsid w:val="00027674"/>
    <w:rsid w:val="00040964"/>
    <w:rsid w:val="0004418A"/>
    <w:rsid w:val="00053ACF"/>
    <w:rsid w:val="00055453"/>
    <w:rsid w:val="00057D8B"/>
    <w:rsid w:val="00060FBB"/>
    <w:rsid w:val="00061DE8"/>
    <w:rsid w:val="00072914"/>
    <w:rsid w:val="0008081F"/>
    <w:rsid w:val="00080FFC"/>
    <w:rsid w:val="0009552C"/>
    <w:rsid w:val="000A3657"/>
    <w:rsid w:val="000A4244"/>
    <w:rsid w:val="000C3F0C"/>
    <w:rsid w:val="000D7B53"/>
    <w:rsid w:val="000E28BC"/>
    <w:rsid w:val="000E32D6"/>
    <w:rsid w:val="000E6E6A"/>
    <w:rsid w:val="000F0082"/>
    <w:rsid w:val="0010333A"/>
    <w:rsid w:val="00120CDC"/>
    <w:rsid w:val="001215EE"/>
    <w:rsid w:val="001235C9"/>
    <w:rsid w:val="0013642A"/>
    <w:rsid w:val="001407FC"/>
    <w:rsid w:val="001431B4"/>
    <w:rsid w:val="00145B70"/>
    <w:rsid w:val="001518C4"/>
    <w:rsid w:val="00151E6A"/>
    <w:rsid w:val="001555F3"/>
    <w:rsid w:val="0015782A"/>
    <w:rsid w:val="00170187"/>
    <w:rsid w:val="00192D00"/>
    <w:rsid w:val="001A2699"/>
    <w:rsid w:val="001A7569"/>
    <w:rsid w:val="001B65F1"/>
    <w:rsid w:val="001E657E"/>
    <w:rsid w:val="00202D48"/>
    <w:rsid w:val="0020696A"/>
    <w:rsid w:val="00206DF4"/>
    <w:rsid w:val="002145EC"/>
    <w:rsid w:val="00232268"/>
    <w:rsid w:val="002421FB"/>
    <w:rsid w:val="002422DC"/>
    <w:rsid w:val="002574F3"/>
    <w:rsid w:val="00260E88"/>
    <w:rsid w:val="00285779"/>
    <w:rsid w:val="0029276A"/>
    <w:rsid w:val="002A0E05"/>
    <w:rsid w:val="002A4200"/>
    <w:rsid w:val="002A426E"/>
    <w:rsid w:val="002B55BB"/>
    <w:rsid w:val="002C5536"/>
    <w:rsid w:val="002D79B7"/>
    <w:rsid w:val="002D7A9E"/>
    <w:rsid w:val="002F4856"/>
    <w:rsid w:val="00321D1A"/>
    <w:rsid w:val="00331DA9"/>
    <w:rsid w:val="003323B9"/>
    <w:rsid w:val="00332735"/>
    <w:rsid w:val="00333B6A"/>
    <w:rsid w:val="003345BC"/>
    <w:rsid w:val="00336702"/>
    <w:rsid w:val="00341AB6"/>
    <w:rsid w:val="003426FD"/>
    <w:rsid w:val="00345781"/>
    <w:rsid w:val="00361831"/>
    <w:rsid w:val="00390F0B"/>
    <w:rsid w:val="003A47B9"/>
    <w:rsid w:val="003C51E4"/>
    <w:rsid w:val="003E675C"/>
    <w:rsid w:val="003F10DE"/>
    <w:rsid w:val="003F366B"/>
    <w:rsid w:val="00407111"/>
    <w:rsid w:val="00412C12"/>
    <w:rsid w:val="0041642F"/>
    <w:rsid w:val="0041670B"/>
    <w:rsid w:val="00421F8D"/>
    <w:rsid w:val="00424B8A"/>
    <w:rsid w:val="0043011C"/>
    <w:rsid w:val="00430D05"/>
    <w:rsid w:val="00436541"/>
    <w:rsid w:val="004413B5"/>
    <w:rsid w:val="004460BC"/>
    <w:rsid w:val="00456D78"/>
    <w:rsid w:val="00463C33"/>
    <w:rsid w:val="00473BF5"/>
    <w:rsid w:val="004815C0"/>
    <w:rsid w:val="00485EEF"/>
    <w:rsid w:val="00491BFC"/>
    <w:rsid w:val="004A3450"/>
    <w:rsid w:val="004B0548"/>
    <w:rsid w:val="004B3B4B"/>
    <w:rsid w:val="004B3DBB"/>
    <w:rsid w:val="004C33B9"/>
    <w:rsid w:val="004C5F8F"/>
    <w:rsid w:val="004C64BF"/>
    <w:rsid w:val="004D4382"/>
    <w:rsid w:val="004E42FF"/>
    <w:rsid w:val="004F0EA1"/>
    <w:rsid w:val="00507C06"/>
    <w:rsid w:val="00523552"/>
    <w:rsid w:val="00523C80"/>
    <w:rsid w:val="00536F48"/>
    <w:rsid w:val="00545903"/>
    <w:rsid w:val="00550A75"/>
    <w:rsid w:val="00551D31"/>
    <w:rsid w:val="00551FBD"/>
    <w:rsid w:val="005566B7"/>
    <w:rsid w:val="0056273B"/>
    <w:rsid w:val="0056361B"/>
    <w:rsid w:val="00563D3B"/>
    <w:rsid w:val="00585F60"/>
    <w:rsid w:val="00591D09"/>
    <w:rsid w:val="005A062A"/>
    <w:rsid w:val="005A0DA1"/>
    <w:rsid w:val="005A2E9B"/>
    <w:rsid w:val="005A384B"/>
    <w:rsid w:val="005A3B9E"/>
    <w:rsid w:val="005A4856"/>
    <w:rsid w:val="005B25E8"/>
    <w:rsid w:val="005B31C0"/>
    <w:rsid w:val="005C347A"/>
    <w:rsid w:val="005D2F06"/>
    <w:rsid w:val="005D3A09"/>
    <w:rsid w:val="005E13E7"/>
    <w:rsid w:val="005E21B7"/>
    <w:rsid w:val="005E7373"/>
    <w:rsid w:val="005F1FA8"/>
    <w:rsid w:val="00605355"/>
    <w:rsid w:val="006208EF"/>
    <w:rsid w:val="006244BF"/>
    <w:rsid w:val="00624C4D"/>
    <w:rsid w:val="00626E97"/>
    <w:rsid w:val="006368CF"/>
    <w:rsid w:val="00641E9E"/>
    <w:rsid w:val="006516B2"/>
    <w:rsid w:val="00652602"/>
    <w:rsid w:val="00653C2A"/>
    <w:rsid w:val="00662D35"/>
    <w:rsid w:val="006736BD"/>
    <w:rsid w:val="00675F74"/>
    <w:rsid w:val="00687371"/>
    <w:rsid w:val="00687495"/>
    <w:rsid w:val="00693A3B"/>
    <w:rsid w:val="006B4B0A"/>
    <w:rsid w:val="006B5E56"/>
    <w:rsid w:val="006B6863"/>
    <w:rsid w:val="006C4B84"/>
    <w:rsid w:val="006E1F08"/>
    <w:rsid w:val="006F4B6A"/>
    <w:rsid w:val="006F7BA1"/>
    <w:rsid w:val="0070012E"/>
    <w:rsid w:val="00707021"/>
    <w:rsid w:val="0072038E"/>
    <w:rsid w:val="00721117"/>
    <w:rsid w:val="00721F53"/>
    <w:rsid w:val="00726B4B"/>
    <w:rsid w:val="0073217E"/>
    <w:rsid w:val="00736F52"/>
    <w:rsid w:val="00741F34"/>
    <w:rsid w:val="00746477"/>
    <w:rsid w:val="00752618"/>
    <w:rsid w:val="00760ACB"/>
    <w:rsid w:val="00776520"/>
    <w:rsid w:val="00781F02"/>
    <w:rsid w:val="007855DB"/>
    <w:rsid w:val="00786EEF"/>
    <w:rsid w:val="007B129B"/>
    <w:rsid w:val="007B3100"/>
    <w:rsid w:val="007B418E"/>
    <w:rsid w:val="007C327E"/>
    <w:rsid w:val="007C437E"/>
    <w:rsid w:val="007C6DFA"/>
    <w:rsid w:val="00811EE1"/>
    <w:rsid w:val="00825A2A"/>
    <w:rsid w:val="00825E37"/>
    <w:rsid w:val="008302EE"/>
    <w:rsid w:val="00835934"/>
    <w:rsid w:val="00844F26"/>
    <w:rsid w:val="008621DF"/>
    <w:rsid w:val="0088284A"/>
    <w:rsid w:val="008927DB"/>
    <w:rsid w:val="008B23A0"/>
    <w:rsid w:val="008B5F1E"/>
    <w:rsid w:val="008C10B3"/>
    <w:rsid w:val="008C44CC"/>
    <w:rsid w:val="008D06B0"/>
    <w:rsid w:val="008E064B"/>
    <w:rsid w:val="008E50D3"/>
    <w:rsid w:val="00903B86"/>
    <w:rsid w:val="00904062"/>
    <w:rsid w:val="00905BBD"/>
    <w:rsid w:val="009217CC"/>
    <w:rsid w:val="009306B9"/>
    <w:rsid w:val="00933AD1"/>
    <w:rsid w:val="009405DE"/>
    <w:rsid w:val="0094208B"/>
    <w:rsid w:val="00955892"/>
    <w:rsid w:val="00960586"/>
    <w:rsid w:val="00966627"/>
    <w:rsid w:val="009923F4"/>
    <w:rsid w:val="009C2511"/>
    <w:rsid w:val="009C6EEF"/>
    <w:rsid w:val="009E54DA"/>
    <w:rsid w:val="009E7FA9"/>
    <w:rsid w:val="009F283E"/>
    <w:rsid w:val="009F2A4D"/>
    <w:rsid w:val="009F7275"/>
    <w:rsid w:val="00A03A7E"/>
    <w:rsid w:val="00A05CBB"/>
    <w:rsid w:val="00A0694E"/>
    <w:rsid w:val="00A266E9"/>
    <w:rsid w:val="00A26722"/>
    <w:rsid w:val="00A34C2E"/>
    <w:rsid w:val="00A444F7"/>
    <w:rsid w:val="00A5193E"/>
    <w:rsid w:val="00A56022"/>
    <w:rsid w:val="00A577FC"/>
    <w:rsid w:val="00A715B2"/>
    <w:rsid w:val="00A87089"/>
    <w:rsid w:val="00A87DC0"/>
    <w:rsid w:val="00A87DC9"/>
    <w:rsid w:val="00A96997"/>
    <w:rsid w:val="00A96E66"/>
    <w:rsid w:val="00AB2672"/>
    <w:rsid w:val="00AB4368"/>
    <w:rsid w:val="00AB698E"/>
    <w:rsid w:val="00AD7D8C"/>
    <w:rsid w:val="00AE6196"/>
    <w:rsid w:val="00B129BD"/>
    <w:rsid w:val="00B13908"/>
    <w:rsid w:val="00B1567E"/>
    <w:rsid w:val="00B24B3D"/>
    <w:rsid w:val="00B36E43"/>
    <w:rsid w:val="00B40110"/>
    <w:rsid w:val="00B44630"/>
    <w:rsid w:val="00B57EEE"/>
    <w:rsid w:val="00B6203E"/>
    <w:rsid w:val="00B6413F"/>
    <w:rsid w:val="00B647A0"/>
    <w:rsid w:val="00B65A74"/>
    <w:rsid w:val="00B814DA"/>
    <w:rsid w:val="00B8194D"/>
    <w:rsid w:val="00B85494"/>
    <w:rsid w:val="00B93881"/>
    <w:rsid w:val="00B947EE"/>
    <w:rsid w:val="00BA3514"/>
    <w:rsid w:val="00BA4EA9"/>
    <w:rsid w:val="00BB7BC6"/>
    <w:rsid w:val="00BC3DFB"/>
    <w:rsid w:val="00BC4099"/>
    <w:rsid w:val="00BD3A16"/>
    <w:rsid w:val="00BD5F07"/>
    <w:rsid w:val="00BE7C85"/>
    <w:rsid w:val="00BF6DED"/>
    <w:rsid w:val="00C06E70"/>
    <w:rsid w:val="00C25391"/>
    <w:rsid w:val="00C361BC"/>
    <w:rsid w:val="00C40BFD"/>
    <w:rsid w:val="00C443A1"/>
    <w:rsid w:val="00C4704F"/>
    <w:rsid w:val="00C62644"/>
    <w:rsid w:val="00C72051"/>
    <w:rsid w:val="00C80A01"/>
    <w:rsid w:val="00C834E6"/>
    <w:rsid w:val="00C87708"/>
    <w:rsid w:val="00C9649F"/>
    <w:rsid w:val="00CA03D0"/>
    <w:rsid w:val="00CA2EBA"/>
    <w:rsid w:val="00CB142A"/>
    <w:rsid w:val="00CB2ACE"/>
    <w:rsid w:val="00CC2AED"/>
    <w:rsid w:val="00CD63D8"/>
    <w:rsid w:val="00CD72AC"/>
    <w:rsid w:val="00D159C8"/>
    <w:rsid w:val="00D213C7"/>
    <w:rsid w:val="00D23D86"/>
    <w:rsid w:val="00D25BBC"/>
    <w:rsid w:val="00D31443"/>
    <w:rsid w:val="00D31DB7"/>
    <w:rsid w:val="00D41714"/>
    <w:rsid w:val="00D43BFD"/>
    <w:rsid w:val="00D53D9B"/>
    <w:rsid w:val="00D61B7B"/>
    <w:rsid w:val="00D66B9A"/>
    <w:rsid w:val="00D67CB4"/>
    <w:rsid w:val="00D74AF1"/>
    <w:rsid w:val="00D8179F"/>
    <w:rsid w:val="00D9259D"/>
    <w:rsid w:val="00D93B29"/>
    <w:rsid w:val="00DB464B"/>
    <w:rsid w:val="00DB780D"/>
    <w:rsid w:val="00DB781A"/>
    <w:rsid w:val="00DD065C"/>
    <w:rsid w:val="00DD0C2E"/>
    <w:rsid w:val="00DD0DD6"/>
    <w:rsid w:val="00DE5C80"/>
    <w:rsid w:val="00DF1B75"/>
    <w:rsid w:val="00DF35CB"/>
    <w:rsid w:val="00DF3BBE"/>
    <w:rsid w:val="00E00774"/>
    <w:rsid w:val="00E01CA3"/>
    <w:rsid w:val="00E03B0B"/>
    <w:rsid w:val="00E10913"/>
    <w:rsid w:val="00E119A6"/>
    <w:rsid w:val="00E1442E"/>
    <w:rsid w:val="00E2412E"/>
    <w:rsid w:val="00E33ACD"/>
    <w:rsid w:val="00E34509"/>
    <w:rsid w:val="00E45607"/>
    <w:rsid w:val="00E51BE8"/>
    <w:rsid w:val="00E63DCD"/>
    <w:rsid w:val="00E665BD"/>
    <w:rsid w:val="00E727CC"/>
    <w:rsid w:val="00E80593"/>
    <w:rsid w:val="00E8460F"/>
    <w:rsid w:val="00EC4637"/>
    <w:rsid w:val="00EC7BC5"/>
    <w:rsid w:val="00ED7D78"/>
    <w:rsid w:val="00EE0B58"/>
    <w:rsid w:val="00EF45A6"/>
    <w:rsid w:val="00F02D34"/>
    <w:rsid w:val="00F06B55"/>
    <w:rsid w:val="00F13997"/>
    <w:rsid w:val="00F14A13"/>
    <w:rsid w:val="00F22850"/>
    <w:rsid w:val="00F22CD6"/>
    <w:rsid w:val="00F261FE"/>
    <w:rsid w:val="00F357C0"/>
    <w:rsid w:val="00F50EB4"/>
    <w:rsid w:val="00F5289B"/>
    <w:rsid w:val="00F52AFE"/>
    <w:rsid w:val="00F664FF"/>
    <w:rsid w:val="00F73E19"/>
    <w:rsid w:val="00F85918"/>
    <w:rsid w:val="00F90B4B"/>
    <w:rsid w:val="00FA6D31"/>
    <w:rsid w:val="00FA7875"/>
    <w:rsid w:val="00FB2E77"/>
    <w:rsid w:val="00FB5BDE"/>
    <w:rsid w:val="00FE2939"/>
    <w:rsid w:val="00FE7397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1567E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megalakult-a-turk-allamok-versenytanacsa-isztambulba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5-os-sajtokozlemenyek/mar-100-termekkategoria-erheto-el-az-online-arfigyelob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5-os-sajtokozlemenyek/itt-a-bejelentes-a-tejtermekeket-es-a-tojaspiacot-is-vizsgalja-a-gv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sajtoszoba/sajtokozlemenyek/2025-os-sajtokozlemenyek/gvh-elnok-a-magyar-versenyhatosag-nemzetkozi-osszevetesben-is-aktiv-a-kozbeszerzesi-kartellek-elleni-fellepesb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5</cp:revision>
  <dcterms:created xsi:type="dcterms:W3CDTF">2025-04-29T06:15:00Z</dcterms:created>
  <dcterms:modified xsi:type="dcterms:W3CDTF">2025-04-29T09:42:00Z</dcterms:modified>
</cp:coreProperties>
</file>