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BD51B8" w14:textId="0BC97842" w:rsidR="00285779" w:rsidRDefault="00285779" w:rsidP="00825E37">
      <w:pPr>
        <w:tabs>
          <w:tab w:val="left" w:pos="567"/>
        </w:tabs>
        <w:spacing w:after="120"/>
        <w:ind w:left="0"/>
        <w:rPr>
          <w:b/>
          <w:bCs/>
          <w:sz w:val="28"/>
          <w:szCs w:val="28"/>
        </w:rPr>
      </w:pPr>
      <w:bookmarkStart w:id="0" w:name="_Hlk147755103"/>
      <w:bookmarkStart w:id="1" w:name="_Hlk150499558"/>
      <w:r>
        <w:rPr>
          <w:b/>
          <w:bCs/>
          <w:sz w:val="28"/>
          <w:szCs w:val="28"/>
        </w:rPr>
        <w:t>Az online térben</w:t>
      </w:r>
      <w:r w:rsidR="00760ACB">
        <w:rPr>
          <w:b/>
          <w:bCs/>
          <w:sz w:val="28"/>
          <w:szCs w:val="28"/>
        </w:rPr>
        <w:t xml:space="preserve"> is</w:t>
      </w:r>
      <w:r>
        <w:rPr>
          <w:b/>
          <w:bCs/>
          <w:sz w:val="28"/>
          <w:szCs w:val="28"/>
        </w:rPr>
        <w:t xml:space="preserve"> védi a gyermekeket a GVH</w:t>
      </w:r>
    </w:p>
    <w:p w14:paraId="080E1237" w14:textId="58AEE551" w:rsidR="0088284A" w:rsidRPr="00285779" w:rsidRDefault="00285779" w:rsidP="00825E37">
      <w:pPr>
        <w:tabs>
          <w:tab w:val="left" w:pos="567"/>
        </w:tabs>
        <w:spacing w:after="120"/>
        <w:ind w:left="0"/>
        <w:rPr>
          <w:b/>
          <w:bCs/>
        </w:rPr>
      </w:pPr>
      <w:r w:rsidRPr="00285779">
        <w:rPr>
          <w:b/>
          <w:bCs/>
        </w:rPr>
        <w:t xml:space="preserve">A </w:t>
      </w:r>
      <w:r>
        <w:rPr>
          <w:b/>
          <w:bCs/>
        </w:rPr>
        <w:t>versenyhatóság</w:t>
      </w:r>
      <w:r w:rsidRPr="00285779">
        <w:rPr>
          <w:b/>
          <w:bCs/>
        </w:rPr>
        <w:t xml:space="preserve"> elnöke</w:t>
      </w:r>
      <w:r>
        <w:rPr>
          <w:b/>
          <w:bCs/>
        </w:rPr>
        <w:t xml:space="preserve"> </w:t>
      </w:r>
      <w:r w:rsidR="00192D00" w:rsidRPr="00285779">
        <w:rPr>
          <w:b/>
          <w:bCs/>
        </w:rPr>
        <w:t>videójáték</w:t>
      </w:r>
      <w:r w:rsidRPr="00285779">
        <w:rPr>
          <w:b/>
          <w:bCs/>
        </w:rPr>
        <w:t>os</w:t>
      </w:r>
      <w:r w:rsidR="00192D00" w:rsidRPr="00285779">
        <w:rPr>
          <w:b/>
          <w:bCs/>
        </w:rPr>
        <w:t xml:space="preserve"> egyesületek</w:t>
      </w:r>
      <w:r>
        <w:rPr>
          <w:b/>
          <w:bCs/>
        </w:rPr>
        <w:t>nek</w:t>
      </w:r>
      <w:r w:rsidR="00345781">
        <w:rPr>
          <w:b/>
          <w:bCs/>
        </w:rPr>
        <w:t xml:space="preserve"> és</w:t>
      </w:r>
      <w:r w:rsidR="00760ACB">
        <w:rPr>
          <w:b/>
          <w:bCs/>
        </w:rPr>
        <w:t xml:space="preserve"> fejlesztőknek</w:t>
      </w:r>
      <w:r>
        <w:rPr>
          <w:b/>
          <w:bCs/>
        </w:rPr>
        <w:t xml:space="preserve"> küldött figyelemfelhívást</w:t>
      </w:r>
    </w:p>
    <w:p w14:paraId="64450E70" w14:textId="5EFCC07F" w:rsidR="0056361B" w:rsidRDefault="00361831" w:rsidP="00825E37">
      <w:pPr>
        <w:tabs>
          <w:tab w:val="left" w:pos="567"/>
        </w:tabs>
        <w:spacing w:after="120"/>
        <w:ind w:left="0"/>
        <w:rPr>
          <w:rStyle w:val="Kiemels2"/>
          <w:rFonts w:eastAsiaTheme="majorEastAsia"/>
        </w:rPr>
      </w:pPr>
      <w:r w:rsidRPr="00412C12">
        <w:rPr>
          <w:b/>
        </w:rPr>
        <w:t>Budapest, 202</w:t>
      </w:r>
      <w:r w:rsidR="00407111">
        <w:rPr>
          <w:b/>
        </w:rPr>
        <w:t xml:space="preserve">5. </w:t>
      </w:r>
      <w:r w:rsidR="00192D00">
        <w:rPr>
          <w:b/>
        </w:rPr>
        <w:t>április</w:t>
      </w:r>
      <w:r w:rsidR="00285779">
        <w:rPr>
          <w:b/>
        </w:rPr>
        <w:t xml:space="preserve"> 2</w:t>
      </w:r>
      <w:r w:rsidR="00786EEF">
        <w:rPr>
          <w:b/>
        </w:rPr>
        <w:t>.</w:t>
      </w:r>
      <w:r w:rsidR="001215EE" w:rsidRPr="00412C12">
        <w:rPr>
          <w:b/>
        </w:rPr>
        <w:t xml:space="preserve"> </w:t>
      </w:r>
      <w:r w:rsidRPr="00412C12">
        <w:rPr>
          <w:b/>
        </w:rPr>
        <w:t>–</w:t>
      </w:r>
      <w:r w:rsidRPr="00412C12">
        <w:rPr>
          <w:bCs/>
        </w:rPr>
        <w:t xml:space="preserve"> </w:t>
      </w:r>
      <w:bookmarkEnd w:id="0"/>
      <w:r w:rsidR="00192D00">
        <w:rPr>
          <w:rStyle w:val="Kiemels2"/>
          <w:rFonts w:eastAsiaTheme="majorEastAsia"/>
          <w:color w:val="000000"/>
        </w:rPr>
        <w:t>A Gazdasági Versenyhivatal</w:t>
      </w:r>
      <w:r w:rsidR="00285779">
        <w:rPr>
          <w:rStyle w:val="Kiemels2"/>
          <w:rFonts w:eastAsiaTheme="majorEastAsia"/>
          <w:color w:val="000000"/>
        </w:rPr>
        <w:t xml:space="preserve"> (GVH)</w:t>
      </w:r>
      <w:r w:rsidR="00192D00">
        <w:rPr>
          <w:rStyle w:val="Kiemels2"/>
          <w:rFonts w:eastAsiaTheme="majorEastAsia"/>
          <w:color w:val="000000"/>
        </w:rPr>
        <w:t xml:space="preserve"> </w:t>
      </w:r>
      <w:r w:rsidR="00285779">
        <w:rPr>
          <w:rStyle w:val="Kiemels2"/>
          <w:rFonts w:eastAsiaTheme="majorEastAsia"/>
          <w:color w:val="000000"/>
        </w:rPr>
        <w:t>nagy hangsúlyt helyez a</w:t>
      </w:r>
      <w:r w:rsidR="00192D00">
        <w:rPr>
          <w:rStyle w:val="Kiemels2"/>
          <w:rFonts w:eastAsiaTheme="majorEastAsia"/>
          <w:color w:val="000000"/>
        </w:rPr>
        <w:t xml:space="preserve"> gyermekek és fiatalok védelm</w:t>
      </w:r>
      <w:r w:rsidR="00285779">
        <w:rPr>
          <w:rStyle w:val="Kiemels2"/>
          <w:rFonts w:eastAsiaTheme="majorEastAsia"/>
          <w:color w:val="000000"/>
        </w:rPr>
        <w:t>ére</w:t>
      </w:r>
      <w:r w:rsidR="00192D00">
        <w:rPr>
          <w:rStyle w:val="Kiemels2"/>
          <w:rFonts w:eastAsiaTheme="majorEastAsia"/>
          <w:color w:val="000000"/>
        </w:rPr>
        <w:t xml:space="preserve">, amelynek fontos részét képezi a biztonságos és átlátható </w:t>
      </w:r>
      <w:r w:rsidR="00285779">
        <w:rPr>
          <w:rStyle w:val="Kiemels2"/>
          <w:rFonts w:eastAsiaTheme="majorEastAsia"/>
          <w:color w:val="000000"/>
        </w:rPr>
        <w:t>online</w:t>
      </w:r>
      <w:r w:rsidR="00192D00">
        <w:rPr>
          <w:rStyle w:val="Kiemels2"/>
          <w:rFonts w:eastAsiaTheme="majorEastAsia"/>
          <w:color w:val="000000"/>
        </w:rPr>
        <w:t xml:space="preserve"> környezet kialakítás</w:t>
      </w:r>
      <w:r w:rsidR="00285779">
        <w:rPr>
          <w:rStyle w:val="Kiemels2"/>
          <w:rFonts w:eastAsiaTheme="majorEastAsia"/>
          <w:color w:val="000000"/>
        </w:rPr>
        <w:t>ához való hozzájárulás</w:t>
      </w:r>
      <w:r w:rsidR="00192D00">
        <w:rPr>
          <w:rStyle w:val="Kiemels2"/>
          <w:rFonts w:eastAsiaTheme="majorEastAsia"/>
          <w:color w:val="000000"/>
        </w:rPr>
        <w:t>. Rigó Csaba Balázs, a GVH elnöke tájékoztató levelet küldött</w:t>
      </w:r>
      <w:r w:rsidR="00015D60">
        <w:rPr>
          <w:rStyle w:val="Kiemels2"/>
          <w:rFonts w:eastAsiaTheme="majorEastAsia"/>
          <w:color w:val="000000"/>
        </w:rPr>
        <w:t xml:space="preserve"> több</w:t>
      </w:r>
      <w:r w:rsidR="00192D00">
        <w:rPr>
          <w:rStyle w:val="Kiemels2"/>
          <w:rFonts w:eastAsiaTheme="majorEastAsia"/>
          <w:color w:val="000000"/>
        </w:rPr>
        <w:t xml:space="preserve"> hazai videójáték</w:t>
      </w:r>
      <w:r w:rsidR="00285779">
        <w:rPr>
          <w:rStyle w:val="Kiemels2"/>
          <w:rFonts w:eastAsiaTheme="majorEastAsia"/>
          <w:color w:val="000000"/>
        </w:rPr>
        <w:t>os</w:t>
      </w:r>
      <w:r w:rsidR="00192D00">
        <w:rPr>
          <w:rStyle w:val="Kiemels2"/>
          <w:rFonts w:eastAsiaTheme="majorEastAsia"/>
          <w:color w:val="000000"/>
        </w:rPr>
        <w:t xml:space="preserve"> egyesüle</w:t>
      </w:r>
      <w:r w:rsidR="00015D60">
        <w:rPr>
          <w:rStyle w:val="Kiemels2"/>
          <w:rFonts w:eastAsiaTheme="majorEastAsia"/>
          <w:color w:val="000000"/>
        </w:rPr>
        <w:t>tnek</w:t>
      </w:r>
      <w:r w:rsidR="00192D00">
        <w:rPr>
          <w:rStyle w:val="Kiemels2"/>
          <w:rFonts w:eastAsiaTheme="majorEastAsia"/>
          <w:color w:val="000000"/>
        </w:rPr>
        <w:t>,</w:t>
      </w:r>
      <w:r w:rsidR="00760ACB">
        <w:rPr>
          <w:rStyle w:val="Kiemels2"/>
          <w:rFonts w:eastAsiaTheme="majorEastAsia"/>
          <w:color w:val="000000"/>
        </w:rPr>
        <w:t xml:space="preserve"> illetve fejlesz</w:t>
      </w:r>
      <w:r w:rsidR="00345781">
        <w:rPr>
          <w:rStyle w:val="Kiemels2"/>
          <w:rFonts w:eastAsiaTheme="majorEastAsia"/>
          <w:color w:val="000000"/>
        </w:rPr>
        <w:t>t</w:t>
      </w:r>
      <w:r w:rsidR="00760ACB">
        <w:rPr>
          <w:rStyle w:val="Kiemels2"/>
          <w:rFonts w:eastAsiaTheme="majorEastAsia"/>
          <w:color w:val="000000"/>
        </w:rPr>
        <w:t>őknek</w:t>
      </w:r>
      <w:r w:rsidR="00192D00">
        <w:rPr>
          <w:rStyle w:val="Kiemels2"/>
          <w:rFonts w:eastAsiaTheme="majorEastAsia"/>
          <w:color w:val="000000"/>
        </w:rPr>
        <w:t xml:space="preserve"> melyben felhívta figyelmüket a</w:t>
      </w:r>
      <w:r w:rsidR="00DB781A">
        <w:rPr>
          <w:rStyle w:val="Kiemels2"/>
          <w:rFonts w:eastAsiaTheme="majorEastAsia"/>
          <w:color w:val="000000"/>
        </w:rPr>
        <w:t>z európai uniós</w:t>
      </w:r>
      <w:r w:rsidR="00192D00">
        <w:rPr>
          <w:rStyle w:val="Kiemels2"/>
          <w:rFonts w:eastAsiaTheme="majorEastAsia"/>
          <w:color w:val="000000"/>
        </w:rPr>
        <w:t xml:space="preserve"> </w:t>
      </w:r>
      <w:r w:rsidR="00192D00" w:rsidRPr="00DB781A">
        <w:rPr>
          <w:b/>
          <w:bCs/>
        </w:rPr>
        <w:t>Fogyasztóvédelmi Együttműködési Hálózat (</w:t>
      </w:r>
      <w:r w:rsidR="00DB781A" w:rsidRPr="00DB781A">
        <w:rPr>
          <w:rStyle w:val="Kiemels2"/>
          <w:rFonts w:eastAsiaTheme="majorEastAsia"/>
          <w:color w:val="333333"/>
        </w:rPr>
        <w:t xml:space="preserve">Consumer </w:t>
      </w:r>
      <w:proofErr w:type="spellStart"/>
      <w:r w:rsidR="00DB781A" w:rsidRPr="00DB781A">
        <w:rPr>
          <w:rStyle w:val="Kiemels2"/>
          <w:rFonts w:eastAsiaTheme="majorEastAsia"/>
          <w:color w:val="333333"/>
        </w:rPr>
        <w:t>Protection</w:t>
      </w:r>
      <w:proofErr w:type="spellEnd"/>
      <w:r w:rsidR="00DB781A" w:rsidRPr="00DB781A">
        <w:rPr>
          <w:rStyle w:val="Kiemels2"/>
          <w:rFonts w:eastAsiaTheme="majorEastAsia"/>
          <w:color w:val="333333"/>
        </w:rPr>
        <w:t xml:space="preserve"> </w:t>
      </w:r>
      <w:proofErr w:type="spellStart"/>
      <w:r w:rsidR="00DB781A" w:rsidRPr="00DB781A">
        <w:rPr>
          <w:rStyle w:val="Kiemels2"/>
          <w:rFonts w:eastAsiaTheme="majorEastAsia"/>
          <w:color w:val="333333"/>
        </w:rPr>
        <w:t>Cooperation</w:t>
      </w:r>
      <w:proofErr w:type="spellEnd"/>
      <w:r w:rsidR="00DB781A" w:rsidRPr="00DB781A">
        <w:rPr>
          <w:rStyle w:val="Kiemels2"/>
          <w:rFonts w:eastAsiaTheme="majorEastAsia"/>
          <w:color w:val="333333"/>
        </w:rPr>
        <w:t xml:space="preserve"> Network -</w:t>
      </w:r>
      <w:r w:rsidR="00DB781A" w:rsidRPr="00DB781A">
        <w:rPr>
          <w:rStyle w:val="Kiemels2"/>
          <w:rFonts w:eastAsiaTheme="majorEastAsia"/>
          <w:b w:val="0"/>
          <w:bCs w:val="0"/>
          <w:color w:val="333333"/>
        </w:rPr>
        <w:t xml:space="preserve"> </w:t>
      </w:r>
      <w:r w:rsidR="00192D00" w:rsidRPr="00DB781A">
        <w:rPr>
          <w:b/>
          <w:bCs/>
        </w:rPr>
        <w:t>CPC)</w:t>
      </w:r>
      <w:r w:rsidR="00DB781A">
        <w:rPr>
          <w:b/>
          <w:bCs/>
        </w:rPr>
        <w:t xml:space="preserve"> </w:t>
      </w:r>
      <w:r w:rsidR="00390F0B">
        <w:rPr>
          <w:b/>
          <w:bCs/>
        </w:rPr>
        <w:t>által közzétett iránymutatásra,</w:t>
      </w:r>
      <w:r w:rsidR="00285779">
        <w:rPr>
          <w:b/>
          <w:bCs/>
        </w:rPr>
        <w:t xml:space="preserve"> illetve</w:t>
      </w:r>
      <w:r w:rsidR="00390F0B">
        <w:rPr>
          <w:b/>
          <w:bCs/>
        </w:rPr>
        <w:t xml:space="preserve"> az abban foglalt legfontosabb alapelvekre.</w:t>
      </w:r>
    </w:p>
    <w:p w14:paraId="2E5CFC3E" w14:textId="45778443" w:rsidR="00390F0B" w:rsidRDefault="00390F0B" w:rsidP="00825E37">
      <w:pPr>
        <w:tabs>
          <w:tab w:val="left" w:pos="567"/>
        </w:tabs>
        <w:spacing w:after="120"/>
        <w:ind w:left="0"/>
      </w:pPr>
      <w:r w:rsidRPr="00390F0B">
        <w:t xml:space="preserve">Az európai uniós fogyasztóvédelmi hatóságokat, köztük a Gazdasági Versenyhivatalt (GVH) tömörítő </w:t>
      </w:r>
      <w:r w:rsidR="00053ACF">
        <w:t>CPC</w:t>
      </w:r>
      <w:r w:rsidRPr="00390F0B">
        <w:t xml:space="preserve"> </w:t>
      </w:r>
      <w:r>
        <w:t xml:space="preserve">és </w:t>
      </w:r>
      <w:r w:rsidRPr="00390F0B">
        <w:t xml:space="preserve">az Európai </w:t>
      </w:r>
      <w:r>
        <w:t xml:space="preserve">Bizottság </w:t>
      </w:r>
      <w:hyperlink r:id="rId8" w:history="1">
        <w:r w:rsidRPr="00550A75">
          <w:rPr>
            <w:rStyle w:val="Hiperhivatkozs"/>
          </w:rPr>
          <w:t>március 21-én közzétett</w:t>
        </w:r>
        <w:r w:rsidR="00550A75" w:rsidRPr="00550A75">
          <w:rPr>
            <w:rStyle w:val="Hiperhivatkozs"/>
          </w:rPr>
          <w:t xml:space="preserve"> egy iránymutatást</w:t>
        </w:r>
      </w:hyperlink>
      <w:r w:rsidR="00550A75">
        <w:t>, amelynek célja az átláthatóság és tisztességesség előmozdítása az internetes játékiparban, kiemelten a virtuális fizetőeszközök kérdésében.</w:t>
      </w:r>
    </w:p>
    <w:bookmarkEnd w:id="1"/>
    <w:p w14:paraId="64C128BD" w14:textId="0830FF56" w:rsidR="00F52AFE" w:rsidRDefault="00D93B29" w:rsidP="00825E37">
      <w:pPr>
        <w:spacing w:after="120"/>
        <w:ind w:left="0"/>
      </w:pPr>
      <w:r>
        <w:t>Az iránymutatás több alapelvet is meghatároz a virtuális fizetőeszközök vásárlásával és felhasználásával kapcsolatban. Ilyenek többek között:</w:t>
      </w:r>
    </w:p>
    <w:p w14:paraId="56B56C94" w14:textId="76D229B7" w:rsidR="00D93B29" w:rsidRDefault="00D93B29" w:rsidP="00825E37">
      <w:pPr>
        <w:pStyle w:val="Listaszerbekezds"/>
        <w:numPr>
          <w:ilvl w:val="0"/>
          <w:numId w:val="8"/>
        </w:numPr>
        <w:spacing w:after="120"/>
      </w:pPr>
      <w:r w:rsidRPr="00D93B29">
        <w:rPr>
          <w:b/>
          <w:bCs/>
        </w:rPr>
        <w:t>a világos és átlátható árképzési gyakorlatok</w:t>
      </w:r>
      <w:r>
        <w:t>,</w:t>
      </w:r>
      <w:r w:rsidR="00345781">
        <w:t xml:space="preserve"> és</w:t>
      </w:r>
      <w:r w:rsidRPr="00D93B29">
        <w:t xml:space="preserve"> </w:t>
      </w:r>
      <w:r>
        <w:t xml:space="preserve">a </w:t>
      </w:r>
      <w:r w:rsidRPr="00D93B29">
        <w:t>szerződéskötés előtti tájékoztatás;</w:t>
      </w:r>
    </w:p>
    <w:p w14:paraId="5C479690" w14:textId="2648E3FC" w:rsidR="00D93B29" w:rsidRDefault="00D93B29" w:rsidP="00825E37">
      <w:pPr>
        <w:pStyle w:val="Listaszerbekezds"/>
        <w:numPr>
          <w:ilvl w:val="0"/>
          <w:numId w:val="8"/>
        </w:numPr>
        <w:spacing w:after="120"/>
      </w:pPr>
      <w:r w:rsidRPr="00D93B29">
        <w:t xml:space="preserve">a játékokon belüli digitális tartalmak és szolgáltatások költségeit elrejtő gyakorlatok, valamint </w:t>
      </w:r>
      <w:r w:rsidRPr="00D93B29">
        <w:rPr>
          <w:b/>
          <w:bCs/>
        </w:rPr>
        <w:t>a fogyasztókat virtuális fizetőeszköz</w:t>
      </w:r>
      <w:r>
        <w:rPr>
          <w:b/>
          <w:bCs/>
        </w:rPr>
        <w:t>ök</w:t>
      </w:r>
      <w:r w:rsidRPr="00D93B29">
        <w:rPr>
          <w:b/>
          <w:bCs/>
        </w:rPr>
        <w:t xml:space="preserve"> vásárlására kényszerítő gyakorlatok elkerülése</w:t>
      </w:r>
      <w:r w:rsidRPr="00D93B29">
        <w:t>;</w:t>
      </w:r>
    </w:p>
    <w:p w14:paraId="6B357735" w14:textId="144DE1E8" w:rsidR="0070012E" w:rsidRDefault="0070012E" w:rsidP="00825E37">
      <w:pPr>
        <w:pStyle w:val="Listaszerbekezds"/>
        <w:numPr>
          <w:ilvl w:val="0"/>
          <w:numId w:val="8"/>
        </w:numPr>
        <w:spacing w:after="120"/>
        <w:rPr>
          <w:b/>
          <w:bCs/>
        </w:rPr>
      </w:pPr>
      <w:r w:rsidRPr="0070012E">
        <w:rPr>
          <w:b/>
          <w:bCs/>
        </w:rPr>
        <w:t>a fogyasztók elállási jogának biztosítása;</w:t>
      </w:r>
    </w:p>
    <w:p w14:paraId="51A76A17" w14:textId="7131CCFD" w:rsidR="00C361BC" w:rsidRPr="00C361BC" w:rsidRDefault="00C361BC" w:rsidP="00825E37">
      <w:pPr>
        <w:pStyle w:val="Listaszerbekezds"/>
        <w:numPr>
          <w:ilvl w:val="0"/>
          <w:numId w:val="8"/>
        </w:numPr>
        <w:spacing w:after="120"/>
        <w:rPr>
          <w:b/>
          <w:bCs/>
        </w:rPr>
      </w:pPr>
      <w:r w:rsidRPr="00C361BC">
        <w:rPr>
          <w:b/>
          <w:bCs/>
        </w:rPr>
        <w:t>a fogyasztók sérülékenységének tiszteletben tartása</w:t>
      </w:r>
      <w:r w:rsidRPr="00C361BC">
        <w:t>, különösen a gyermekek esetében.</w:t>
      </w:r>
    </w:p>
    <w:p w14:paraId="57868305" w14:textId="526D672A" w:rsidR="00F52AFE" w:rsidRDefault="00550A75" w:rsidP="00825E37">
      <w:pPr>
        <w:spacing w:after="120"/>
        <w:ind w:left="0"/>
        <w:rPr>
          <w:rStyle w:val="Kiemels2"/>
          <w:rFonts w:eastAsiaTheme="majorEastAsia"/>
          <w:b w:val="0"/>
          <w:bCs w:val="0"/>
        </w:rPr>
      </w:pPr>
      <w:r>
        <w:t>Rigó Csaba Balázs, a Gazdasági Versenyhivatal elnöke tájékoztató levelet küldött</w:t>
      </w:r>
      <w:r w:rsidR="00285779">
        <w:t xml:space="preserve"> több</w:t>
      </w:r>
      <w:r>
        <w:t xml:space="preserve"> hazai videójáték</w:t>
      </w:r>
      <w:r w:rsidR="00285779">
        <w:t>os</w:t>
      </w:r>
      <w:r>
        <w:t xml:space="preserve"> egyesületnek,</w:t>
      </w:r>
      <w:r w:rsidR="00285779">
        <w:t xml:space="preserve"> szervezetnek,</w:t>
      </w:r>
      <w:r w:rsidR="00760ACB">
        <w:t xml:space="preserve"> közte fejlesztőknek,</w:t>
      </w:r>
      <w:r>
        <w:t xml:space="preserve"> amelyben felhív</w:t>
      </w:r>
      <w:r w:rsidR="00285779">
        <w:t>t</w:t>
      </w:r>
      <w:r>
        <w:t xml:space="preserve">a figyelmüket a CPC iránymutatására és a megfogalmazott alapelvekre. </w:t>
      </w:r>
      <w:r w:rsidR="000E28BC">
        <w:t xml:space="preserve">A GVH célja, hogy az érintett </w:t>
      </w:r>
      <w:r w:rsidR="00285779">
        <w:t>szervezeteken</w:t>
      </w:r>
      <w:r w:rsidR="000E28BC">
        <w:t xml:space="preserve"> keresztül még szélesebb körben legyenek ismertek ezen alapelvek, ezáltal növelve a játékosok tudatosságát és fogyasztóvédelmi ismereteit, </w:t>
      </w:r>
      <w:r w:rsidR="00825E37">
        <w:t>emellett pedig</w:t>
      </w:r>
      <w:r w:rsidR="000E28BC">
        <w:t xml:space="preserve"> elősegítve </w:t>
      </w:r>
      <w:r w:rsidR="00285779">
        <w:t>a</w:t>
      </w:r>
      <w:r w:rsidR="000E28BC">
        <w:t xml:space="preserve"> </w:t>
      </w:r>
      <w:r w:rsidR="000E28BC">
        <w:rPr>
          <w:rStyle w:val="Kiemels2"/>
          <w:rFonts w:eastAsiaTheme="majorEastAsia"/>
          <w:b w:val="0"/>
          <w:bCs w:val="0"/>
        </w:rPr>
        <w:t>megbízható online játékkörnyezet kialakulását.</w:t>
      </w:r>
    </w:p>
    <w:p w14:paraId="507026C0" w14:textId="14F489AE" w:rsidR="00053ACF" w:rsidRDefault="00053ACF" w:rsidP="00825E37">
      <w:pPr>
        <w:spacing w:after="120"/>
        <w:ind w:left="0"/>
      </w:pPr>
      <w:r>
        <w:t>A nemzeti versenyhatóság korábban Gondolja Végig Higgadtan edukációs</w:t>
      </w:r>
      <w:r w:rsidR="00E03B0B">
        <w:t xml:space="preserve"> </w:t>
      </w:r>
      <w:r>
        <w:t xml:space="preserve">kampánya keretében is felhívta a játékosok és a szülők figyelmét a </w:t>
      </w:r>
      <w:hyperlink r:id="rId9" w:history="1">
        <w:r w:rsidRPr="00053ACF">
          <w:rPr>
            <w:rStyle w:val="Hiperhivatkozs"/>
          </w:rPr>
          <w:t>mobiljátékok</w:t>
        </w:r>
      </w:hyperlink>
      <w:r>
        <w:t xml:space="preserve"> és az </w:t>
      </w:r>
      <w:hyperlink r:id="rId10" w:history="1">
        <w:r w:rsidRPr="00053ACF">
          <w:rPr>
            <w:rStyle w:val="Hiperhivatkozs"/>
          </w:rPr>
          <w:t xml:space="preserve">ún. </w:t>
        </w:r>
        <w:r w:rsidRPr="00053ACF">
          <w:rPr>
            <w:rStyle w:val="Hiperhivatkozs"/>
            <w:i/>
            <w:iCs/>
          </w:rPr>
          <w:t>asztali</w:t>
        </w:r>
        <w:r w:rsidRPr="00053ACF">
          <w:rPr>
            <w:rStyle w:val="Hiperhivatkozs"/>
          </w:rPr>
          <w:t xml:space="preserve"> videojátékok</w:t>
        </w:r>
      </w:hyperlink>
      <w:r>
        <w:t xml:space="preserve"> használata során felmerülő megtévesztő gyakorlatokra és kockázatokra. </w:t>
      </w:r>
    </w:p>
    <w:p w14:paraId="156C0339" w14:textId="0120CDBF" w:rsidR="00550A75" w:rsidRPr="00D41714" w:rsidRDefault="00053ACF" w:rsidP="00D41714">
      <w:pPr>
        <w:spacing w:after="120"/>
        <w:ind w:left="0"/>
      </w:pPr>
      <w:r>
        <w:t xml:space="preserve">A GVH honlapjának </w:t>
      </w:r>
      <w:hyperlink r:id="rId11" w:history="1">
        <w:r>
          <w:rPr>
            <w:rStyle w:val="Hiperhivatkozs"/>
            <w:rFonts w:eastAsiaTheme="majorEastAsia"/>
          </w:rPr>
          <w:t>Gondolja Végig Higgadtan</w:t>
        </w:r>
      </w:hyperlink>
      <w:r>
        <w:t xml:space="preserve"> menüpontja alatt számos hasznos információt olvashatnak a videó- és mobiljátékokkal, illetve további témakörökkel kapcsolatban is.</w:t>
      </w:r>
    </w:p>
    <w:p w14:paraId="46B5F357" w14:textId="0A22FE49" w:rsidR="00361831" w:rsidRPr="00A56022" w:rsidRDefault="00361831" w:rsidP="00675F74">
      <w:pPr>
        <w:spacing w:after="0"/>
        <w:ind w:left="0"/>
        <w:rPr>
          <w:b/>
          <w:bCs/>
        </w:rPr>
      </w:pPr>
      <w:r w:rsidRPr="00A56022">
        <w:rPr>
          <w:b/>
          <w:bCs/>
        </w:rPr>
        <w:t xml:space="preserve">GVH </w:t>
      </w:r>
      <w:r w:rsidR="00652602">
        <w:rPr>
          <w:b/>
          <w:bCs/>
        </w:rPr>
        <w:t>Kommunikáció</w:t>
      </w:r>
    </w:p>
    <w:p w14:paraId="4D4523B3" w14:textId="77777777" w:rsidR="00361831" w:rsidRPr="00A56022" w:rsidRDefault="00361831" w:rsidP="00675F74">
      <w:pPr>
        <w:spacing w:after="0"/>
        <w:ind w:left="0"/>
      </w:pPr>
      <w:r w:rsidRPr="00A56022">
        <w:t>További információ:</w:t>
      </w:r>
    </w:p>
    <w:p w14:paraId="707774B9" w14:textId="77777777" w:rsidR="00361831" w:rsidRPr="00A56022" w:rsidRDefault="00361831" w:rsidP="00675F74">
      <w:pPr>
        <w:spacing w:after="0"/>
        <w:ind w:left="0"/>
      </w:pPr>
      <w:r w:rsidRPr="00A56022">
        <w:t>Horváth Bálint, kommunikációs vezető +36 20 238 6939</w:t>
      </w:r>
    </w:p>
    <w:p w14:paraId="4198A9CE" w14:textId="76D261F2" w:rsidR="002A426E" w:rsidRPr="00A56022" w:rsidRDefault="00361831" w:rsidP="00675F74">
      <w:pPr>
        <w:spacing w:after="0"/>
        <w:ind w:left="0"/>
      </w:pPr>
      <w:r w:rsidRPr="00A56022">
        <w:t>Gondolovics Katalin, sajtószóvivő +36 30 603 1170</w:t>
      </w:r>
    </w:p>
    <w:sectPr w:rsidR="002A426E" w:rsidRPr="00A56022" w:rsidSect="00D93B29"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567" w:footer="550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5BB15B" w14:textId="77777777" w:rsidR="00F90B4B" w:rsidRDefault="00F90B4B">
      <w:pPr>
        <w:spacing w:after="0" w:line="240" w:lineRule="auto"/>
      </w:pPr>
      <w:r>
        <w:separator/>
      </w:r>
    </w:p>
  </w:endnote>
  <w:endnote w:type="continuationSeparator" w:id="0">
    <w:p w14:paraId="2DDB8E7D" w14:textId="77777777" w:rsidR="00F90B4B" w:rsidRDefault="00F90B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D1EDA8" w14:textId="77777777" w:rsidR="00726B4B" w:rsidRDefault="00736F52">
    <w:pPr>
      <w:tabs>
        <w:tab w:val="right" w:pos="9354"/>
      </w:tabs>
      <w:spacing w:before="284" w:after="0" w:line="240" w:lineRule="auto"/>
    </w:pPr>
    <w:r>
      <w:tab/>
    </w:r>
    <w:r>
      <w:fldChar w:fldCharType="begin"/>
    </w:r>
    <w:r>
      <w:instrText>PAGE</w:instrText>
    </w:r>
    <w:r>
      <w:fldChar w:fldCharType="separate"/>
    </w:r>
    <w:r>
      <w:rPr>
        <w:noProof/>
      </w:rPr>
      <w:t>2</w:t>
    </w:r>
    <w:r>
      <w:fldChar w:fldCharType="end"/>
    </w:r>
    <w:r>
      <w:t>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D6C2FF" w14:textId="77777777" w:rsidR="00726B4B" w:rsidRDefault="00736F52">
    <w:pPr>
      <w:tabs>
        <w:tab w:val="left" w:pos="3226"/>
      </w:tabs>
    </w:pPr>
    <w:r w:rsidRPr="00337335">
      <w:rPr>
        <w:rFonts w:ascii="Arial" w:eastAsia="Arial" w:hAnsi="Arial" w:cs="Arial"/>
        <w:sz w:val="18"/>
        <w:szCs w:val="18"/>
      </w:rPr>
      <w:t>1026 Budapest, Riadó u. 1-3.</w:t>
    </w:r>
    <w:r>
      <w:rPr>
        <w:rFonts w:ascii="Arial" w:eastAsia="Arial" w:hAnsi="Arial" w:cs="Arial"/>
        <w:sz w:val="18"/>
        <w:szCs w:val="18"/>
      </w:rPr>
      <w:tab/>
    </w:r>
    <w:r>
      <w:rPr>
        <w:rFonts w:ascii="Arial" w:eastAsia="Arial" w:hAnsi="Arial" w:cs="Arial"/>
        <w:sz w:val="18"/>
        <w:szCs w:val="18"/>
      </w:rPr>
      <w:tab/>
    </w:r>
    <w:r>
      <w:rPr>
        <w:rFonts w:ascii="Arial" w:eastAsia="Arial" w:hAnsi="Arial" w:cs="Arial"/>
        <w:sz w:val="18"/>
        <w:szCs w:val="18"/>
      </w:rPr>
      <w:tab/>
    </w:r>
    <w:r>
      <w:rPr>
        <w:rFonts w:ascii="Arial" w:eastAsia="Arial" w:hAnsi="Arial" w:cs="Arial"/>
        <w:sz w:val="18"/>
        <w:szCs w:val="18"/>
      </w:rPr>
      <w:tab/>
      <w:t xml:space="preserve"> E-mail: sajto@gvh.hu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F53804" w14:textId="77777777" w:rsidR="00F90B4B" w:rsidRDefault="00F90B4B">
      <w:pPr>
        <w:spacing w:after="0" w:line="240" w:lineRule="auto"/>
      </w:pPr>
      <w:r>
        <w:separator/>
      </w:r>
    </w:p>
  </w:footnote>
  <w:footnote w:type="continuationSeparator" w:id="0">
    <w:p w14:paraId="4F1BA057" w14:textId="77777777" w:rsidR="00F90B4B" w:rsidRDefault="00F90B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2DC2D4" w14:textId="5314C600" w:rsidR="00825E37" w:rsidRDefault="00736F52" w:rsidP="00345781">
    <w:pPr>
      <w:pBdr>
        <w:top w:val="nil"/>
        <w:left w:val="nil"/>
        <w:bottom w:val="nil"/>
        <w:right w:val="nil"/>
        <w:between w:val="nil"/>
      </w:pBdr>
      <w:tabs>
        <w:tab w:val="left" w:pos="6855"/>
      </w:tabs>
      <w:spacing w:after="360"/>
      <w:ind w:left="0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noProof/>
        <w:color w:val="000000"/>
        <w:sz w:val="22"/>
        <w:szCs w:val="22"/>
      </w:rPr>
      <w:drawing>
        <wp:inline distT="0" distB="0" distL="0" distR="0" wp14:anchorId="55DF55CD" wp14:editId="73EB7389">
          <wp:extent cx="1691640" cy="586740"/>
          <wp:effectExtent l="0" t="0" r="0" b="0"/>
          <wp:docPr id="14" name="Kép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91640" cy="5867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033F98"/>
    <w:multiLevelType w:val="hybridMultilevel"/>
    <w:tmpl w:val="D74E4C1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665100"/>
    <w:multiLevelType w:val="hybridMultilevel"/>
    <w:tmpl w:val="7BBAF7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5E2C38"/>
    <w:multiLevelType w:val="hybridMultilevel"/>
    <w:tmpl w:val="3D3440A4"/>
    <w:lvl w:ilvl="0" w:tplc="0809000F">
      <w:start w:val="1"/>
      <w:numFmt w:val="decimal"/>
      <w:lvlText w:val="%1."/>
      <w:lvlJc w:val="left"/>
      <w:pPr>
        <w:ind w:left="1344" w:hanging="360"/>
      </w:pPr>
    </w:lvl>
    <w:lvl w:ilvl="1" w:tplc="08090019" w:tentative="1">
      <w:start w:val="1"/>
      <w:numFmt w:val="lowerLetter"/>
      <w:lvlText w:val="%2."/>
      <w:lvlJc w:val="left"/>
      <w:pPr>
        <w:ind w:left="2064" w:hanging="360"/>
      </w:pPr>
    </w:lvl>
    <w:lvl w:ilvl="2" w:tplc="0809001B" w:tentative="1">
      <w:start w:val="1"/>
      <w:numFmt w:val="lowerRoman"/>
      <w:lvlText w:val="%3."/>
      <w:lvlJc w:val="right"/>
      <w:pPr>
        <w:ind w:left="2784" w:hanging="180"/>
      </w:pPr>
    </w:lvl>
    <w:lvl w:ilvl="3" w:tplc="0809000F" w:tentative="1">
      <w:start w:val="1"/>
      <w:numFmt w:val="decimal"/>
      <w:lvlText w:val="%4."/>
      <w:lvlJc w:val="left"/>
      <w:pPr>
        <w:ind w:left="3504" w:hanging="360"/>
      </w:pPr>
    </w:lvl>
    <w:lvl w:ilvl="4" w:tplc="08090019" w:tentative="1">
      <w:start w:val="1"/>
      <w:numFmt w:val="lowerLetter"/>
      <w:lvlText w:val="%5."/>
      <w:lvlJc w:val="left"/>
      <w:pPr>
        <w:ind w:left="4224" w:hanging="360"/>
      </w:pPr>
    </w:lvl>
    <w:lvl w:ilvl="5" w:tplc="0809001B" w:tentative="1">
      <w:start w:val="1"/>
      <w:numFmt w:val="lowerRoman"/>
      <w:lvlText w:val="%6."/>
      <w:lvlJc w:val="right"/>
      <w:pPr>
        <w:ind w:left="4944" w:hanging="180"/>
      </w:pPr>
    </w:lvl>
    <w:lvl w:ilvl="6" w:tplc="0809000F" w:tentative="1">
      <w:start w:val="1"/>
      <w:numFmt w:val="decimal"/>
      <w:lvlText w:val="%7."/>
      <w:lvlJc w:val="left"/>
      <w:pPr>
        <w:ind w:left="5664" w:hanging="360"/>
      </w:pPr>
    </w:lvl>
    <w:lvl w:ilvl="7" w:tplc="08090019" w:tentative="1">
      <w:start w:val="1"/>
      <w:numFmt w:val="lowerLetter"/>
      <w:lvlText w:val="%8."/>
      <w:lvlJc w:val="left"/>
      <w:pPr>
        <w:ind w:left="6384" w:hanging="360"/>
      </w:pPr>
    </w:lvl>
    <w:lvl w:ilvl="8" w:tplc="080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3" w15:restartNumberingAfterBreak="0">
    <w:nsid w:val="4BCC1F83"/>
    <w:multiLevelType w:val="hybridMultilevel"/>
    <w:tmpl w:val="53462A3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B6410B"/>
    <w:multiLevelType w:val="hybridMultilevel"/>
    <w:tmpl w:val="FD809CC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7410A1"/>
    <w:multiLevelType w:val="hybridMultilevel"/>
    <w:tmpl w:val="41DABF6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0A57DA"/>
    <w:multiLevelType w:val="hybridMultilevel"/>
    <w:tmpl w:val="949ED69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476D1A"/>
    <w:multiLevelType w:val="hybridMultilevel"/>
    <w:tmpl w:val="47BC8EF4"/>
    <w:lvl w:ilvl="0" w:tplc="7D78D15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6663489">
    <w:abstractNumId w:val="2"/>
  </w:num>
  <w:num w:numId="2" w16cid:durableId="107623771">
    <w:abstractNumId w:val="1"/>
  </w:num>
  <w:num w:numId="3" w16cid:durableId="1377386889">
    <w:abstractNumId w:val="6"/>
  </w:num>
  <w:num w:numId="4" w16cid:durableId="1159342447">
    <w:abstractNumId w:val="7"/>
  </w:num>
  <w:num w:numId="5" w16cid:durableId="1310868491">
    <w:abstractNumId w:val="0"/>
  </w:num>
  <w:num w:numId="6" w16cid:durableId="306517745">
    <w:abstractNumId w:val="5"/>
  </w:num>
  <w:num w:numId="7" w16cid:durableId="553851777">
    <w:abstractNumId w:val="3"/>
  </w:num>
  <w:num w:numId="8" w16cid:durableId="1092499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13F"/>
    <w:rsid w:val="000030D1"/>
    <w:rsid w:val="00011AF6"/>
    <w:rsid w:val="00015D60"/>
    <w:rsid w:val="00053ACF"/>
    <w:rsid w:val="00055453"/>
    <w:rsid w:val="00057D8B"/>
    <w:rsid w:val="0008081F"/>
    <w:rsid w:val="00080FFC"/>
    <w:rsid w:val="0009552C"/>
    <w:rsid w:val="000D7B53"/>
    <w:rsid w:val="000E28BC"/>
    <w:rsid w:val="000E32D6"/>
    <w:rsid w:val="000F0082"/>
    <w:rsid w:val="0010333A"/>
    <w:rsid w:val="001215EE"/>
    <w:rsid w:val="001235C9"/>
    <w:rsid w:val="0013642A"/>
    <w:rsid w:val="001407FC"/>
    <w:rsid w:val="001431B4"/>
    <w:rsid w:val="001555F3"/>
    <w:rsid w:val="00170187"/>
    <w:rsid w:val="00192D00"/>
    <w:rsid w:val="001A2699"/>
    <w:rsid w:val="001B65F1"/>
    <w:rsid w:val="001E657E"/>
    <w:rsid w:val="00202D48"/>
    <w:rsid w:val="0020696A"/>
    <w:rsid w:val="00206DF4"/>
    <w:rsid w:val="002421FB"/>
    <w:rsid w:val="002422DC"/>
    <w:rsid w:val="002574F3"/>
    <w:rsid w:val="00260E88"/>
    <w:rsid w:val="00285779"/>
    <w:rsid w:val="0029276A"/>
    <w:rsid w:val="002A0E05"/>
    <w:rsid w:val="002A4200"/>
    <w:rsid w:val="002A426E"/>
    <w:rsid w:val="002B55BB"/>
    <w:rsid w:val="002D7A9E"/>
    <w:rsid w:val="002F4856"/>
    <w:rsid w:val="00321D1A"/>
    <w:rsid w:val="00331DA9"/>
    <w:rsid w:val="00333B6A"/>
    <w:rsid w:val="003426FD"/>
    <w:rsid w:val="00345781"/>
    <w:rsid w:val="00361831"/>
    <w:rsid w:val="00390F0B"/>
    <w:rsid w:val="003C51E4"/>
    <w:rsid w:val="003E675C"/>
    <w:rsid w:val="003F10DE"/>
    <w:rsid w:val="003F366B"/>
    <w:rsid w:val="00407111"/>
    <w:rsid w:val="00412C12"/>
    <w:rsid w:val="0041642F"/>
    <w:rsid w:val="0041670B"/>
    <w:rsid w:val="00421F8D"/>
    <w:rsid w:val="00424B8A"/>
    <w:rsid w:val="00430D05"/>
    <w:rsid w:val="00436541"/>
    <w:rsid w:val="004413B5"/>
    <w:rsid w:val="004460BC"/>
    <w:rsid w:val="00456D78"/>
    <w:rsid w:val="00463C33"/>
    <w:rsid w:val="00485EEF"/>
    <w:rsid w:val="00491BFC"/>
    <w:rsid w:val="004B0548"/>
    <w:rsid w:val="004B3B4B"/>
    <w:rsid w:val="004B3DBB"/>
    <w:rsid w:val="004C33B9"/>
    <w:rsid w:val="004C64BF"/>
    <w:rsid w:val="004D4382"/>
    <w:rsid w:val="004F0EA1"/>
    <w:rsid w:val="00536F48"/>
    <w:rsid w:val="00545903"/>
    <w:rsid w:val="00550A75"/>
    <w:rsid w:val="005566B7"/>
    <w:rsid w:val="0056273B"/>
    <w:rsid w:val="0056361B"/>
    <w:rsid w:val="00585F60"/>
    <w:rsid w:val="00591D09"/>
    <w:rsid w:val="005A0DA1"/>
    <w:rsid w:val="005A384B"/>
    <w:rsid w:val="005A4856"/>
    <w:rsid w:val="005B25E8"/>
    <w:rsid w:val="005B31C0"/>
    <w:rsid w:val="005E13E7"/>
    <w:rsid w:val="005E21B7"/>
    <w:rsid w:val="005E7373"/>
    <w:rsid w:val="005F1FA8"/>
    <w:rsid w:val="00605355"/>
    <w:rsid w:val="006208EF"/>
    <w:rsid w:val="00626E97"/>
    <w:rsid w:val="006368CF"/>
    <w:rsid w:val="00641E9E"/>
    <w:rsid w:val="006516B2"/>
    <w:rsid w:val="00652602"/>
    <w:rsid w:val="00662D35"/>
    <w:rsid w:val="006736BD"/>
    <w:rsid w:val="00675F74"/>
    <w:rsid w:val="00687495"/>
    <w:rsid w:val="006B4B0A"/>
    <w:rsid w:val="006B5E56"/>
    <w:rsid w:val="006E1F08"/>
    <w:rsid w:val="006F4B6A"/>
    <w:rsid w:val="0070012E"/>
    <w:rsid w:val="00707021"/>
    <w:rsid w:val="0072038E"/>
    <w:rsid w:val="00721117"/>
    <w:rsid w:val="00721F53"/>
    <w:rsid w:val="00726B4B"/>
    <w:rsid w:val="0073217E"/>
    <w:rsid w:val="00736F52"/>
    <w:rsid w:val="00746477"/>
    <w:rsid w:val="00752618"/>
    <w:rsid w:val="00760ACB"/>
    <w:rsid w:val="00776520"/>
    <w:rsid w:val="00781F02"/>
    <w:rsid w:val="007855DB"/>
    <w:rsid w:val="00786EEF"/>
    <w:rsid w:val="007B3100"/>
    <w:rsid w:val="007C327E"/>
    <w:rsid w:val="007C437E"/>
    <w:rsid w:val="007C6DFA"/>
    <w:rsid w:val="00811EE1"/>
    <w:rsid w:val="00825A2A"/>
    <w:rsid w:val="00825E37"/>
    <w:rsid w:val="008302EE"/>
    <w:rsid w:val="00835934"/>
    <w:rsid w:val="0088284A"/>
    <w:rsid w:val="008927DB"/>
    <w:rsid w:val="008B5F1E"/>
    <w:rsid w:val="008C10B3"/>
    <w:rsid w:val="008C44CC"/>
    <w:rsid w:val="008E50D3"/>
    <w:rsid w:val="00903B86"/>
    <w:rsid w:val="00904062"/>
    <w:rsid w:val="00905BBD"/>
    <w:rsid w:val="009217CC"/>
    <w:rsid w:val="009306B9"/>
    <w:rsid w:val="00933AD1"/>
    <w:rsid w:val="009405DE"/>
    <w:rsid w:val="0094208B"/>
    <w:rsid w:val="009C2511"/>
    <w:rsid w:val="009F2A4D"/>
    <w:rsid w:val="00A03A7E"/>
    <w:rsid w:val="00A05CBB"/>
    <w:rsid w:val="00A0694E"/>
    <w:rsid w:val="00A26722"/>
    <w:rsid w:val="00A444F7"/>
    <w:rsid w:val="00A5193E"/>
    <w:rsid w:val="00A56022"/>
    <w:rsid w:val="00A577FC"/>
    <w:rsid w:val="00A715B2"/>
    <w:rsid w:val="00A87089"/>
    <w:rsid w:val="00A87DC0"/>
    <w:rsid w:val="00A87DC9"/>
    <w:rsid w:val="00A96997"/>
    <w:rsid w:val="00A96E66"/>
    <w:rsid w:val="00AB2672"/>
    <w:rsid w:val="00AB4368"/>
    <w:rsid w:val="00AB698E"/>
    <w:rsid w:val="00AE6196"/>
    <w:rsid w:val="00B13908"/>
    <w:rsid w:val="00B36E43"/>
    <w:rsid w:val="00B44630"/>
    <w:rsid w:val="00B6203E"/>
    <w:rsid w:val="00B6413F"/>
    <w:rsid w:val="00B814DA"/>
    <w:rsid w:val="00B8194D"/>
    <w:rsid w:val="00B85494"/>
    <w:rsid w:val="00B93881"/>
    <w:rsid w:val="00BA4EA9"/>
    <w:rsid w:val="00BB7BC6"/>
    <w:rsid w:val="00BC3DFB"/>
    <w:rsid w:val="00BC4099"/>
    <w:rsid w:val="00BD3A16"/>
    <w:rsid w:val="00C06E70"/>
    <w:rsid w:val="00C25391"/>
    <w:rsid w:val="00C361BC"/>
    <w:rsid w:val="00C443A1"/>
    <w:rsid w:val="00C62644"/>
    <w:rsid w:val="00C72051"/>
    <w:rsid w:val="00C834E6"/>
    <w:rsid w:val="00C87708"/>
    <w:rsid w:val="00C9649F"/>
    <w:rsid w:val="00CA2EBA"/>
    <w:rsid w:val="00CB142A"/>
    <w:rsid w:val="00CC2AED"/>
    <w:rsid w:val="00CD63D8"/>
    <w:rsid w:val="00CD72AC"/>
    <w:rsid w:val="00D213C7"/>
    <w:rsid w:val="00D31443"/>
    <w:rsid w:val="00D41714"/>
    <w:rsid w:val="00D53D9B"/>
    <w:rsid w:val="00D74AF1"/>
    <w:rsid w:val="00D8179F"/>
    <w:rsid w:val="00D93B29"/>
    <w:rsid w:val="00DB464B"/>
    <w:rsid w:val="00DB780D"/>
    <w:rsid w:val="00DB781A"/>
    <w:rsid w:val="00DD0C2E"/>
    <w:rsid w:val="00DF1B75"/>
    <w:rsid w:val="00DF35CB"/>
    <w:rsid w:val="00E00774"/>
    <w:rsid w:val="00E01CA3"/>
    <w:rsid w:val="00E03B0B"/>
    <w:rsid w:val="00E10913"/>
    <w:rsid w:val="00E1442E"/>
    <w:rsid w:val="00E33ACD"/>
    <w:rsid w:val="00E34509"/>
    <w:rsid w:val="00E45607"/>
    <w:rsid w:val="00E665BD"/>
    <w:rsid w:val="00EC4637"/>
    <w:rsid w:val="00EC7BC5"/>
    <w:rsid w:val="00EE0B58"/>
    <w:rsid w:val="00F13997"/>
    <w:rsid w:val="00F22850"/>
    <w:rsid w:val="00F22CD6"/>
    <w:rsid w:val="00F261FE"/>
    <w:rsid w:val="00F50EB4"/>
    <w:rsid w:val="00F52AFE"/>
    <w:rsid w:val="00F85918"/>
    <w:rsid w:val="00F90B4B"/>
    <w:rsid w:val="00FA6D31"/>
    <w:rsid w:val="00FE2939"/>
    <w:rsid w:val="00FE7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1EFAA"/>
  <w15:chartTrackingRefBased/>
  <w15:docId w15:val="{F1BE087E-BDD1-400E-9BC2-C0740CA1A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61831"/>
    <w:pPr>
      <w:spacing w:after="200" w:line="276" w:lineRule="auto"/>
      <w:ind w:left="907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5B31C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361831"/>
    <w:rPr>
      <w:color w:val="0563C1" w:themeColor="hyperlink"/>
      <w:u w:val="single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5B31C0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hu-HU"/>
    </w:rPr>
  </w:style>
  <w:style w:type="character" w:styleId="Feloldatlanmegemlts">
    <w:name w:val="Unresolved Mention"/>
    <w:basedOn w:val="Bekezdsalapbettpusa"/>
    <w:uiPriority w:val="99"/>
    <w:semiHidden/>
    <w:unhideWhenUsed/>
    <w:rsid w:val="005B31C0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5A384B"/>
    <w:rPr>
      <w:color w:val="954F72" w:themeColor="followedHyperlink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rsid w:val="00626E97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626E97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626E97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26E9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26E97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Vltozat">
    <w:name w:val="Revision"/>
    <w:hidden/>
    <w:uiPriority w:val="99"/>
    <w:semiHidden/>
    <w:rsid w:val="00626E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BC4099"/>
    <w:rPr>
      <w:b/>
      <w:bCs/>
    </w:rPr>
  </w:style>
  <w:style w:type="character" w:styleId="Kiemels">
    <w:name w:val="Emphasis"/>
    <w:basedOn w:val="Bekezdsalapbettpusa"/>
    <w:uiPriority w:val="20"/>
    <w:qFormat/>
    <w:rsid w:val="00BC4099"/>
    <w:rPr>
      <w:i/>
      <w:iCs/>
    </w:rPr>
  </w:style>
  <w:style w:type="paragraph" w:styleId="Listaszerbekezds">
    <w:name w:val="List Paragraph"/>
    <w:basedOn w:val="Norml"/>
    <w:uiPriority w:val="34"/>
    <w:qFormat/>
    <w:rsid w:val="00260E88"/>
    <w:pPr>
      <w:ind w:left="720"/>
      <w:contextualSpacing/>
    </w:pPr>
    <w:rPr>
      <w:rFonts w:eastAsia="Calibri"/>
      <w:szCs w:val="22"/>
      <w:lang w:eastAsia="en-US"/>
    </w:rPr>
  </w:style>
  <w:style w:type="paragraph" w:styleId="lfej">
    <w:name w:val="header"/>
    <w:basedOn w:val="Norml"/>
    <w:link w:val="lfejChar"/>
    <w:uiPriority w:val="99"/>
    <w:unhideWhenUsed/>
    <w:rsid w:val="00825E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25E37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825E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25E37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7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vh.hu/sajtoszoba/sajtokozlemenyek/2025-os-sajtokozlemenyek/osszehangolt-europai-fellepes-a-gyermekek-vedelmeben-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vh.hu/fogyasztoknak/gondolja_vegig_higgadtan/7433_hu_gondolja_vegig_higgadtan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gvh.hu/sajtoszoba/sajtokozlemenyek/2025-os-sajtokozlemenyek/virtualis-csapdak-a-jatekok-vilagaban-a-gvh-ova-inti-a-jatekosokat-es-a-szuloke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vh.hu/sajtoszoba/sajtokozlemenyek/2024-es-sajtokozlemenyek/tul-sokat-nyomkodja-a-gyerek-a-mobilt-a-szunidoben-nagyobb-veszelyben-lehet-mint-gondolnank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2B9738-4149-4DB0-B354-C353FE1D8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405</Words>
  <Characters>2801</Characters>
  <Application>Microsoft Office Word</Application>
  <DocSecurity>4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GVH</Company>
  <LinksUpToDate>false</LinksUpToDate>
  <CharactersWithSpaces>3200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Ferencz Csongor dr.</dc:creator>
  <cp:keywords/>
  <dc:description/>
  <cp:lastModifiedBy>Ferencz Csongor</cp:lastModifiedBy>
  <cp:revision>2</cp:revision>
  <dcterms:created xsi:type="dcterms:W3CDTF">2025-04-01T11:42:00Z</dcterms:created>
  <dcterms:modified xsi:type="dcterms:W3CDTF">2025-04-01T11:42:00Z</dcterms:modified>
</cp:coreProperties>
</file>