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E1237" w14:textId="1A7F3C91" w:rsidR="0088284A" w:rsidRPr="0088284A" w:rsidRDefault="0088284A" w:rsidP="0088284A">
      <w:pPr>
        <w:tabs>
          <w:tab w:val="left" w:pos="567"/>
        </w:tabs>
        <w:spacing w:after="80"/>
        <w:ind w:left="0"/>
        <w:rPr>
          <w:b/>
          <w:bCs/>
          <w:sz w:val="28"/>
          <w:szCs w:val="28"/>
        </w:rPr>
      </w:pPr>
      <w:bookmarkStart w:id="0" w:name="_Hlk147755103"/>
      <w:bookmarkStart w:id="1" w:name="_Hlk150499558"/>
      <w:r w:rsidRPr="0088284A">
        <w:rPr>
          <w:b/>
          <w:bCs/>
          <w:sz w:val="28"/>
          <w:szCs w:val="28"/>
        </w:rPr>
        <w:t xml:space="preserve">Összehangolt európai fellépés </w:t>
      </w:r>
      <w:r>
        <w:rPr>
          <w:b/>
          <w:bCs/>
          <w:sz w:val="28"/>
          <w:szCs w:val="28"/>
        </w:rPr>
        <w:t>a gyermekek védelmében</w:t>
      </w:r>
      <w:r w:rsidRPr="0088284A">
        <w:rPr>
          <w:b/>
          <w:bCs/>
          <w:sz w:val="28"/>
          <w:szCs w:val="28"/>
        </w:rPr>
        <w:t xml:space="preserve"> </w:t>
      </w:r>
    </w:p>
    <w:p w14:paraId="3A2CEE6D" w14:textId="49B29321" w:rsidR="002421FB" w:rsidRPr="00903B86" w:rsidRDefault="005F1FA8" w:rsidP="00675F74">
      <w:pPr>
        <w:tabs>
          <w:tab w:val="left" w:pos="567"/>
        </w:tabs>
        <w:spacing w:after="80"/>
        <w:ind w:left="0"/>
        <w:rPr>
          <w:b/>
          <w:i/>
          <w:iCs/>
        </w:rPr>
      </w:pPr>
      <w:r>
        <w:rPr>
          <w:b/>
          <w:i/>
          <w:iCs/>
        </w:rPr>
        <w:t>A CPC</w:t>
      </w:r>
      <w:r w:rsidR="00652602">
        <w:rPr>
          <w:b/>
          <w:i/>
          <w:iCs/>
        </w:rPr>
        <w:t xml:space="preserve"> fogyasztóvédelmi</w:t>
      </w:r>
      <w:r>
        <w:rPr>
          <w:b/>
          <w:i/>
          <w:iCs/>
        </w:rPr>
        <w:t xml:space="preserve"> hálózat </w:t>
      </w:r>
      <w:r w:rsidR="00FA6D31">
        <w:rPr>
          <w:b/>
          <w:i/>
          <w:iCs/>
        </w:rPr>
        <w:t>több fontos alapelvet is megosztott a cégekkel a biztonságos online játékkörnyezet érdekében</w:t>
      </w:r>
    </w:p>
    <w:p w14:paraId="64450E70" w14:textId="6AB987F5" w:rsidR="0056361B" w:rsidRDefault="00361831" w:rsidP="00675F74">
      <w:pPr>
        <w:tabs>
          <w:tab w:val="left" w:pos="567"/>
        </w:tabs>
        <w:spacing w:after="80"/>
        <w:ind w:left="0"/>
        <w:rPr>
          <w:rStyle w:val="Kiemels2"/>
          <w:rFonts w:eastAsiaTheme="majorEastAsia"/>
        </w:rPr>
      </w:pPr>
      <w:r w:rsidRPr="00412C12">
        <w:rPr>
          <w:b/>
        </w:rPr>
        <w:t>Budapest, 202</w:t>
      </w:r>
      <w:r w:rsidR="00407111">
        <w:rPr>
          <w:b/>
        </w:rPr>
        <w:t xml:space="preserve">5. </w:t>
      </w:r>
      <w:r w:rsidR="00903B86">
        <w:rPr>
          <w:b/>
        </w:rPr>
        <w:t xml:space="preserve">március </w:t>
      </w:r>
      <w:r w:rsidR="00F50EB4">
        <w:rPr>
          <w:b/>
        </w:rPr>
        <w:t>28</w:t>
      </w:r>
      <w:r w:rsidR="00786EEF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7855DB">
        <w:rPr>
          <w:rStyle w:val="Kiemels2"/>
          <w:rFonts w:eastAsiaTheme="majorEastAsia"/>
          <w:color w:val="000000"/>
        </w:rPr>
        <w:t>Az európai uniós fogyasztóvédelmi hatóságokat, köztük a Gazdasági Versenyhivatalt (GVH) tömörítő Fogyasztóvédelmi Együttműködési Hálózat (</w:t>
      </w:r>
      <w:r w:rsidR="007855DB">
        <w:rPr>
          <w:rStyle w:val="Kiemels2"/>
          <w:rFonts w:eastAsiaTheme="majorEastAsia"/>
          <w:color w:val="333333"/>
        </w:rPr>
        <w:t xml:space="preserve">Consumer </w:t>
      </w:r>
      <w:proofErr w:type="spellStart"/>
      <w:r w:rsidR="007855DB">
        <w:rPr>
          <w:rStyle w:val="Kiemels2"/>
          <w:rFonts w:eastAsiaTheme="majorEastAsia"/>
          <w:color w:val="333333"/>
        </w:rPr>
        <w:t>Protection</w:t>
      </w:r>
      <w:proofErr w:type="spellEnd"/>
      <w:r w:rsidR="007855DB">
        <w:rPr>
          <w:rStyle w:val="Kiemels2"/>
          <w:rFonts w:eastAsiaTheme="majorEastAsia"/>
          <w:color w:val="333333"/>
        </w:rPr>
        <w:t xml:space="preserve"> </w:t>
      </w:r>
      <w:proofErr w:type="spellStart"/>
      <w:r w:rsidR="007855DB">
        <w:rPr>
          <w:rStyle w:val="Kiemels2"/>
          <w:rFonts w:eastAsiaTheme="majorEastAsia"/>
          <w:color w:val="333333"/>
        </w:rPr>
        <w:t>Cooperation</w:t>
      </w:r>
      <w:proofErr w:type="spellEnd"/>
      <w:r w:rsidR="007855DB">
        <w:rPr>
          <w:rStyle w:val="Kiemels2"/>
          <w:rFonts w:eastAsiaTheme="majorEastAsia"/>
          <w:color w:val="333333"/>
        </w:rPr>
        <w:t xml:space="preserve"> Network – CPC</w:t>
      </w:r>
      <w:r w:rsidR="007855DB">
        <w:rPr>
          <w:color w:val="333333"/>
        </w:rPr>
        <w:t xml:space="preserve">) </w:t>
      </w:r>
      <w:r w:rsidR="007855DB">
        <w:rPr>
          <w:rStyle w:val="Kiemels2"/>
          <w:rFonts w:eastAsiaTheme="majorEastAsia"/>
        </w:rPr>
        <w:t xml:space="preserve">az Európai Bizottság koordinálásával közös fellépést kezdeményezett egy gyermekek körében népszerű internetes játék gyártójával szemben. A </w:t>
      </w:r>
      <w:r w:rsidR="00652602">
        <w:rPr>
          <w:rStyle w:val="Kiemels2"/>
          <w:rFonts w:eastAsiaTheme="majorEastAsia"/>
        </w:rPr>
        <w:t>CPC</w:t>
      </w:r>
      <w:r w:rsidR="007855DB">
        <w:rPr>
          <w:rStyle w:val="Kiemels2"/>
          <w:rFonts w:eastAsiaTheme="majorEastAsia"/>
        </w:rPr>
        <w:t xml:space="preserve"> ezen felül közzétette egy </w:t>
      </w:r>
      <w:r w:rsidR="007855DB" w:rsidRPr="007855DB">
        <w:rPr>
          <w:rStyle w:val="Kiemels2"/>
          <w:rFonts w:eastAsiaTheme="majorEastAsia"/>
        </w:rPr>
        <w:t>megbízható online játékkörnyezet</w:t>
      </w:r>
      <w:r w:rsidR="007855DB">
        <w:rPr>
          <w:rStyle w:val="Kiemels2"/>
          <w:rFonts w:eastAsiaTheme="majorEastAsia"/>
        </w:rPr>
        <w:t xml:space="preserve">hez </w:t>
      </w:r>
      <w:r w:rsidR="0088284A">
        <w:rPr>
          <w:rStyle w:val="Kiemels2"/>
          <w:rFonts w:eastAsiaTheme="majorEastAsia"/>
        </w:rPr>
        <w:t>szükséges legfontosabb</w:t>
      </w:r>
      <w:r w:rsidR="007855DB">
        <w:rPr>
          <w:rStyle w:val="Kiemels2"/>
          <w:rFonts w:eastAsiaTheme="majorEastAsia"/>
        </w:rPr>
        <w:t xml:space="preserve"> alapelveket.</w:t>
      </w:r>
      <w:r w:rsidR="00652602">
        <w:rPr>
          <w:rStyle w:val="Kiemels2"/>
          <w:rFonts w:eastAsiaTheme="majorEastAsia"/>
        </w:rPr>
        <w:t xml:space="preserve"> A gyermekek célzott védelmére a GVH is kiemelt figyelmet fordít.</w:t>
      </w:r>
    </w:p>
    <w:p w14:paraId="67452F0F" w14:textId="685DD4B7" w:rsidR="00E1442E" w:rsidRDefault="0010333A" w:rsidP="00260E88">
      <w:pPr>
        <w:tabs>
          <w:tab w:val="left" w:pos="567"/>
        </w:tabs>
        <w:spacing w:after="80"/>
        <w:ind w:left="0"/>
      </w:pPr>
      <w:r>
        <w:t>A Fogyasztóvédelmi Együttműködési Hálózat (CPC) közös fellépést kezdeményezett a</w:t>
      </w:r>
      <w:r w:rsidR="00652602">
        <w:t xml:space="preserve"> svédországi</w:t>
      </w:r>
      <w:r>
        <w:t xml:space="preserve"> Star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 AB-vel szemben. A</w:t>
      </w:r>
      <w:r w:rsidR="00652602">
        <w:t xml:space="preserve"> CPC</w:t>
      </w:r>
      <w:r>
        <w:t xml:space="preserve"> felszólította a céget, hogy szolgáltasson információkat az egyik gyermekek körében népszerű </w:t>
      </w:r>
      <w:r w:rsidR="00AB2672">
        <w:t>videó</w:t>
      </w:r>
      <w:r>
        <w:t>játékában megjelenő kereskedelmi gyakorlatokról. A cég válaszát értékelve a</w:t>
      </w:r>
      <w:r w:rsidR="00652602">
        <w:t xml:space="preserve"> CPC</w:t>
      </w:r>
      <w:r>
        <w:t xml:space="preserve"> több gyakorlatot is azonosított, melyek megsérthetik az </w:t>
      </w:r>
      <w:r w:rsidR="0020696A">
        <w:t>e</w:t>
      </w:r>
      <w:r>
        <w:t xml:space="preserve">urópai </w:t>
      </w:r>
      <w:r w:rsidR="0020696A">
        <w:t>u</w:t>
      </w:r>
      <w:r>
        <w:t xml:space="preserve">niós fogyasztóvédelmi szabályokat </w:t>
      </w:r>
      <w:r w:rsidR="008B5F1E">
        <w:t>és veszélyesek lehetnek a gyermekekre:</w:t>
      </w:r>
    </w:p>
    <w:p w14:paraId="4567F305" w14:textId="59FF8CF3" w:rsidR="0013642A" w:rsidRDefault="0013642A" w:rsidP="0013642A">
      <w:pPr>
        <w:pStyle w:val="Listaszerbekezds"/>
        <w:numPr>
          <w:ilvl w:val="0"/>
          <w:numId w:val="7"/>
        </w:numPr>
        <w:tabs>
          <w:tab w:val="left" w:pos="567"/>
        </w:tabs>
        <w:spacing w:after="80"/>
      </w:pPr>
      <w:r w:rsidRPr="0013642A">
        <w:rPr>
          <w:b/>
          <w:bCs/>
        </w:rPr>
        <w:t>a gyermekek közvetlen megszólítása és vásárlásra buzdítása</w:t>
      </w:r>
      <w:r>
        <w:t xml:space="preserve"> a reklámokban;</w:t>
      </w:r>
    </w:p>
    <w:p w14:paraId="16CD5105" w14:textId="2BF9EBEB" w:rsidR="0013642A" w:rsidRDefault="0013642A" w:rsidP="0013642A">
      <w:pPr>
        <w:pStyle w:val="Listaszerbekezds"/>
        <w:numPr>
          <w:ilvl w:val="0"/>
          <w:numId w:val="7"/>
        </w:numPr>
        <w:tabs>
          <w:tab w:val="left" w:pos="567"/>
        </w:tabs>
        <w:spacing w:after="80"/>
      </w:pPr>
      <w:r w:rsidRPr="0013642A">
        <w:rPr>
          <w:b/>
          <w:bCs/>
        </w:rPr>
        <w:t>pszichés nyomásgyakorlás</w:t>
      </w:r>
      <w:r>
        <w:t xml:space="preserve"> (például limitált ideig elérhető ajánlatok) alkalmazása;</w:t>
      </w:r>
    </w:p>
    <w:p w14:paraId="33C5C995" w14:textId="48272E65" w:rsidR="00C06E70" w:rsidRDefault="0013642A" w:rsidP="00D93B29">
      <w:pPr>
        <w:pStyle w:val="Listaszerbekezds"/>
        <w:numPr>
          <w:ilvl w:val="0"/>
          <w:numId w:val="7"/>
        </w:numPr>
        <w:tabs>
          <w:tab w:val="left" w:pos="567"/>
        </w:tabs>
        <w:spacing w:after="80"/>
        <w:ind w:left="567" w:hanging="207"/>
      </w:pPr>
      <w:r>
        <w:t xml:space="preserve">a gyermekekre szabott </w:t>
      </w:r>
      <w:r w:rsidRPr="0013642A">
        <w:rPr>
          <w:b/>
          <w:bCs/>
        </w:rPr>
        <w:t>átlátható és könnyen érthető tájékoztatás hiánya</w:t>
      </w:r>
      <w:r>
        <w:t xml:space="preserve"> a játékon belüli </w:t>
      </w:r>
      <w:r w:rsidR="00D93B29">
        <w:t>fizetőeszközöket</w:t>
      </w:r>
      <w:r>
        <w:t xml:space="preserve"> illetően</w:t>
      </w:r>
      <w:r w:rsidR="00C06E70">
        <w:t>.</w:t>
      </w:r>
    </w:p>
    <w:p w14:paraId="012324A2" w14:textId="71529B89" w:rsidR="00C06E70" w:rsidRDefault="00C06E70" w:rsidP="00260E88">
      <w:pPr>
        <w:tabs>
          <w:tab w:val="left" w:pos="567"/>
        </w:tabs>
        <w:spacing w:after="80"/>
        <w:ind w:left="0"/>
      </w:pPr>
      <w:r>
        <w:t>A</w:t>
      </w:r>
      <w:r w:rsidR="00652602">
        <w:t xml:space="preserve"> svéd</w:t>
      </w:r>
      <w:r>
        <w:t xml:space="preserve"> vállalkozás emellett </w:t>
      </w:r>
      <w:r w:rsidRPr="00C06E70">
        <w:t xml:space="preserve">elmulasztotta biztosítani, hogy a termékeit népszerűsítő </w:t>
      </w:r>
      <w:proofErr w:type="spellStart"/>
      <w:r w:rsidRPr="00C06E70">
        <w:t>influen</w:t>
      </w:r>
      <w:r>
        <w:t>sz</w:t>
      </w:r>
      <w:r w:rsidRPr="00C06E70">
        <w:t>erek</w:t>
      </w:r>
      <w:proofErr w:type="spellEnd"/>
      <w:r w:rsidRPr="00C06E70">
        <w:t xml:space="preserve"> egyértelműen feltüntessék</w:t>
      </w:r>
      <w:r>
        <w:t>, hogy</w:t>
      </w:r>
      <w:r w:rsidR="0070012E">
        <w:t xml:space="preserve"> tartalmaik </w:t>
      </w:r>
      <w:r>
        <w:t>reklámnak minősülnek</w:t>
      </w:r>
      <w:r w:rsidR="0070012E">
        <w:t>, avagy reklámot tartalmaznak</w:t>
      </w:r>
      <w:r>
        <w:t>.</w:t>
      </w:r>
      <w:r w:rsidR="00F52AFE">
        <w:t xml:space="preserve"> A cégnek egy hónapja van reagálni és megoldásokat javasolni a </w:t>
      </w:r>
      <w:r w:rsidR="00652602">
        <w:t xml:space="preserve">CPC </w:t>
      </w:r>
      <w:r w:rsidR="00F52AFE">
        <w:t>által felvetett problémákra</w:t>
      </w:r>
    </w:p>
    <w:bookmarkEnd w:id="1"/>
    <w:p w14:paraId="64C128BD" w14:textId="72B65D33" w:rsidR="00F52AFE" w:rsidRDefault="00D8179F" w:rsidP="00C361BC">
      <w:pPr>
        <w:spacing w:after="80"/>
        <w:ind w:left="0"/>
      </w:pPr>
      <w:r w:rsidRPr="00D93B29">
        <w:t>A CPC</w:t>
      </w:r>
      <w:r w:rsidR="00652602">
        <w:t xml:space="preserve"> </w:t>
      </w:r>
      <w:r w:rsidRPr="00D93B29">
        <w:t xml:space="preserve">ezen felül </w:t>
      </w:r>
      <w:r w:rsidR="00D93B29" w:rsidRPr="00D93B29">
        <w:t xml:space="preserve">egy </w:t>
      </w:r>
      <w:hyperlink r:id="rId8" w:history="1">
        <w:r w:rsidR="00D93B29" w:rsidRPr="00D93B29">
          <w:rPr>
            <w:rStyle w:val="Hiperhivatkozs"/>
          </w:rPr>
          <w:t>iránymutatást is publikált</w:t>
        </w:r>
      </w:hyperlink>
      <w:r w:rsidR="00D93B29" w:rsidRPr="00D93B29">
        <w:t>, mely</w:t>
      </w:r>
      <w:r w:rsidR="00D93B29">
        <w:t>nek célja az átláthatóság és tisztességesség előmozdítása az internetes játékiparban, kiemelten a virtuális fizetőeszközök kérdésében. Az iránymutatás több alapelvet is meghatároz a virtuális fizetőeszközök vásárlásával és felhasználásával kapcsolatban. Ilyenek többek között:</w:t>
      </w:r>
    </w:p>
    <w:p w14:paraId="56B56C94" w14:textId="00BADCEF" w:rsidR="00D93B29" w:rsidRDefault="00D93B29" w:rsidP="00C361BC">
      <w:pPr>
        <w:pStyle w:val="Listaszerbekezds"/>
        <w:numPr>
          <w:ilvl w:val="0"/>
          <w:numId w:val="8"/>
        </w:numPr>
        <w:spacing w:after="80"/>
      </w:pPr>
      <w:r w:rsidRPr="00D93B29">
        <w:rPr>
          <w:b/>
          <w:bCs/>
        </w:rPr>
        <w:t>a világos és átlátható árképzési gyakorlatok</w:t>
      </w:r>
      <w:r>
        <w:t>,</w:t>
      </w:r>
      <w:r w:rsidRPr="00D93B29">
        <w:t xml:space="preserve"> és </w:t>
      </w:r>
      <w:r>
        <w:t xml:space="preserve">a </w:t>
      </w:r>
      <w:r w:rsidRPr="00D93B29">
        <w:t>szerződéskötés előtti tájékoztatás;</w:t>
      </w:r>
    </w:p>
    <w:p w14:paraId="5C479690" w14:textId="2648E3FC" w:rsidR="00D93B29" w:rsidRDefault="00D93B29" w:rsidP="00C361BC">
      <w:pPr>
        <w:pStyle w:val="Listaszerbekezds"/>
        <w:numPr>
          <w:ilvl w:val="0"/>
          <w:numId w:val="8"/>
        </w:numPr>
        <w:spacing w:after="80"/>
      </w:pPr>
      <w:r w:rsidRPr="00D93B29">
        <w:t xml:space="preserve">a játékokon belüli digitális tartalmak és szolgáltatások költségeit elrejtő gyakorlatok, valamint </w:t>
      </w:r>
      <w:r w:rsidRPr="00D93B29">
        <w:rPr>
          <w:b/>
          <w:bCs/>
        </w:rPr>
        <w:t>a fogyasztókat virtuális fizetőeszköz</w:t>
      </w:r>
      <w:r>
        <w:rPr>
          <w:b/>
          <w:bCs/>
        </w:rPr>
        <w:t>ök</w:t>
      </w:r>
      <w:r w:rsidRPr="00D93B29">
        <w:rPr>
          <w:b/>
          <w:bCs/>
        </w:rPr>
        <w:t xml:space="preserve"> vásárlására kényszerítő gyakorlatok elkerülése</w:t>
      </w:r>
      <w:r w:rsidRPr="00D93B29">
        <w:t>;</w:t>
      </w:r>
    </w:p>
    <w:p w14:paraId="6B357735" w14:textId="144DE1E8" w:rsidR="0070012E" w:rsidRDefault="0070012E" w:rsidP="00C361BC">
      <w:pPr>
        <w:pStyle w:val="Listaszerbekezds"/>
        <w:numPr>
          <w:ilvl w:val="0"/>
          <w:numId w:val="8"/>
        </w:numPr>
        <w:spacing w:after="80"/>
        <w:rPr>
          <w:b/>
          <w:bCs/>
        </w:rPr>
      </w:pPr>
      <w:r w:rsidRPr="0070012E">
        <w:rPr>
          <w:b/>
          <w:bCs/>
        </w:rPr>
        <w:t>a fogyasztók elállási jogának biztosítása;</w:t>
      </w:r>
    </w:p>
    <w:p w14:paraId="51A76A17" w14:textId="7131CCFD" w:rsidR="00C361BC" w:rsidRPr="00C361BC" w:rsidRDefault="00C361BC" w:rsidP="00C361BC">
      <w:pPr>
        <w:pStyle w:val="Listaszerbekezds"/>
        <w:numPr>
          <w:ilvl w:val="0"/>
          <w:numId w:val="8"/>
        </w:numPr>
        <w:spacing w:after="80"/>
        <w:rPr>
          <w:b/>
          <w:bCs/>
        </w:rPr>
      </w:pPr>
      <w:r w:rsidRPr="00C361BC">
        <w:rPr>
          <w:b/>
          <w:bCs/>
        </w:rPr>
        <w:t>a fogyasztók sérülékenységének tiszteletben tartása</w:t>
      </w:r>
      <w:r w:rsidRPr="00C361BC">
        <w:t>, különösen a gyermekek esetében.</w:t>
      </w:r>
    </w:p>
    <w:p w14:paraId="63E74DEF" w14:textId="65F9A674" w:rsidR="00C361BC" w:rsidRDefault="00C361BC" w:rsidP="00C361BC">
      <w:pPr>
        <w:spacing w:after="80"/>
        <w:ind w:left="0"/>
      </w:pPr>
      <w:r>
        <w:t xml:space="preserve">A CPC sajtóközleménye, illetve az iránymutatás </w:t>
      </w:r>
      <w:hyperlink r:id="rId9" w:history="1">
        <w:r w:rsidRPr="00C361BC">
          <w:rPr>
            <w:rStyle w:val="Hiperhivatkozs"/>
          </w:rPr>
          <w:t>elérhető az Európai Bizottság oldalán</w:t>
        </w:r>
      </w:hyperlink>
      <w:r>
        <w:t xml:space="preserve">. </w:t>
      </w:r>
    </w:p>
    <w:p w14:paraId="6C8FE73D" w14:textId="41892C1B" w:rsidR="00652602" w:rsidRDefault="00C361BC" w:rsidP="00C361BC">
      <w:pPr>
        <w:spacing w:after="80"/>
        <w:ind w:left="0"/>
      </w:pPr>
      <w:r>
        <w:t>A G</w:t>
      </w:r>
      <w:r w:rsidR="00652602">
        <w:t>azdasági Versenyhivatal</w:t>
      </w:r>
      <w:r>
        <w:t xml:space="preserve"> saját gyakorlatában is kiemelt figyelmet fordít az ún. sérülékeny fogyasztói csoportokat, közöttük a gyermekeket is, érintő kereskedelmi gyakorlatokra. A nemzeti versenyhatóság az elmúlt időszakban két alkalommal is felhívta a játékokosok és a szülők figyelmét a játékok kapcsán felm</w:t>
      </w:r>
      <w:r w:rsidR="0020696A">
        <w:t>erülő</w:t>
      </w:r>
      <w:r>
        <w:t xml:space="preserve"> veszélyekre és lehetséges átverésekre. </w:t>
      </w:r>
    </w:p>
    <w:p w14:paraId="319D1903" w14:textId="705EE547" w:rsidR="00C361BC" w:rsidRDefault="00C361BC" w:rsidP="00C361BC">
      <w:pPr>
        <w:spacing w:after="80"/>
        <w:ind w:left="0"/>
      </w:pPr>
      <w:r>
        <w:lastRenderedPageBreak/>
        <w:t xml:space="preserve">A GVH először </w:t>
      </w:r>
      <w:hyperlink r:id="rId10" w:history="1">
        <w:r w:rsidRPr="00C361BC">
          <w:rPr>
            <w:rStyle w:val="Hiperhivatkozs"/>
          </w:rPr>
          <w:t>a mobiljátékok használata során gyermekekre leselkedő kockázatokat ismertette a szülőkkel</w:t>
        </w:r>
      </w:hyperlink>
      <w:r>
        <w:t xml:space="preserve">. 2025 elején pedig </w:t>
      </w:r>
      <w:hyperlink r:id="rId11" w:history="1">
        <w:r w:rsidRPr="004F0EA1">
          <w:rPr>
            <w:rStyle w:val="Hiperhivatkozs"/>
          </w:rPr>
          <w:t>az ún. „asztali” videójátékok</w:t>
        </w:r>
        <w:r w:rsidR="004F0EA1" w:rsidRPr="004F0EA1">
          <w:rPr>
            <w:rStyle w:val="Hiperhivatkozs"/>
          </w:rPr>
          <w:t>ban alkalmazott megtévesztő kereskedelmi gyakorlatokra hívta fel a figyelmet</w:t>
        </w:r>
      </w:hyperlink>
      <w:r w:rsidR="004F0EA1">
        <w:t xml:space="preserve">. A nemzeti versenyhatóság </w:t>
      </w:r>
      <w:r w:rsidR="004F0EA1" w:rsidRPr="004F0EA1">
        <w:rPr>
          <w:i/>
          <w:iCs/>
        </w:rPr>
        <w:t>Gondolja Végig Higgadtan</w:t>
      </w:r>
      <w:r w:rsidR="004F0EA1">
        <w:t xml:space="preserve"> kampányának keretében megjelent tájékoztató anyagok elérhetőek </w:t>
      </w:r>
      <w:hyperlink r:id="rId12" w:history="1">
        <w:r w:rsidR="004F0EA1" w:rsidRPr="004F0EA1">
          <w:rPr>
            <w:rStyle w:val="Hiperhivatkozs"/>
          </w:rPr>
          <w:t xml:space="preserve">a GVH </w:t>
        </w:r>
        <w:r w:rsidR="00652602">
          <w:rPr>
            <w:rStyle w:val="Hiperhivatkozs"/>
          </w:rPr>
          <w:t>honlapj</w:t>
        </w:r>
        <w:r w:rsidR="004F0EA1" w:rsidRPr="004F0EA1">
          <w:rPr>
            <w:rStyle w:val="Hiperhivatkozs"/>
          </w:rPr>
          <w:t>án</w:t>
        </w:r>
      </w:hyperlink>
      <w:r w:rsidR="004F0EA1">
        <w:t xml:space="preserve">. </w:t>
      </w:r>
    </w:p>
    <w:p w14:paraId="6B128FDE" w14:textId="0608C742" w:rsidR="00421F8D" w:rsidRDefault="00421F8D" w:rsidP="00C361BC">
      <w:pPr>
        <w:spacing w:after="80"/>
        <w:ind w:left="0"/>
      </w:pPr>
      <w:r>
        <w:t xml:space="preserve">A GVH a </w:t>
      </w:r>
      <w:hyperlink r:id="rId13" w:history="1">
        <w:r w:rsidRPr="00421F8D">
          <w:rPr>
            <w:rStyle w:val="Hiperhivatkozs"/>
          </w:rPr>
          <w:t>Digitális Tudatosság Programjával</w:t>
        </w:r>
      </w:hyperlink>
      <w:r>
        <w:t xml:space="preserve"> is törekszik elősegíteni a gyermekek védelmét az online térben. Az edukációs program – melynek keretében a nemzeti versenyhatóság munkatársai </w:t>
      </w:r>
      <w:proofErr w:type="gramStart"/>
      <w:r>
        <w:t>tartanak előadásokat</w:t>
      </w:r>
      <w:proofErr w:type="gramEnd"/>
      <w:r>
        <w:t xml:space="preserve"> 10-16 éves kor közötti diákoknak – célja a gyermekek (minél fiatalabb korban való) tudatosságának felébresztése, az utánajárás és gondolkodás beindítása a digitális tér fogyasztóvédelmi kérdéseivel kapcsolatban.</w:t>
      </w:r>
    </w:p>
    <w:p w14:paraId="6FC605AA" w14:textId="7B2A5019" w:rsidR="004F0EA1" w:rsidRPr="00C361BC" w:rsidRDefault="004F0EA1" w:rsidP="00C361BC">
      <w:pPr>
        <w:spacing w:after="80"/>
        <w:ind w:left="0"/>
      </w:pPr>
      <w:r>
        <w:t xml:space="preserve">A Gazdasági Versenyhivatal emellett figyelemmel követi a véleményvezérek reklámgyakorlatait is. </w:t>
      </w:r>
      <w:hyperlink r:id="rId14" w:history="1">
        <w:proofErr w:type="spellStart"/>
        <w:r w:rsidRPr="004F0EA1">
          <w:rPr>
            <w:rStyle w:val="Hiperhivatkozs"/>
          </w:rPr>
          <w:t>Influenszer</w:t>
        </w:r>
        <w:proofErr w:type="spellEnd"/>
        <w:r w:rsidRPr="004F0EA1">
          <w:rPr>
            <w:rStyle w:val="Hiperhivatkozs"/>
          </w:rPr>
          <w:t xml:space="preserve"> marketing tájékoztató anyagával</w:t>
        </w:r>
      </w:hyperlink>
      <w:r>
        <w:t xml:space="preserve"> gyakorlati példákon keresztül mutatja be a helyes gyakorlatokat és hívja fel a tartalomgyártók figyelmét a lehetséges hibákra.</w:t>
      </w:r>
      <w:r w:rsidR="0020696A">
        <w:t xml:space="preserve"> </w:t>
      </w:r>
      <w:r>
        <w:t xml:space="preserve">A GVH </w:t>
      </w:r>
      <w:r w:rsidR="0020696A">
        <w:t>e körben</w:t>
      </w:r>
      <w:r>
        <w:t xml:space="preserve"> 2024 </w:t>
      </w:r>
      <w:r w:rsidR="00591D09">
        <w:t>elején</w:t>
      </w:r>
      <w:r>
        <w:t xml:space="preserve"> – szintén egy közös európai </w:t>
      </w:r>
      <w:r w:rsidR="00591D09">
        <w:t xml:space="preserve">akció keretében – </w:t>
      </w:r>
      <w:hyperlink r:id="rId15" w:history="1">
        <w:r w:rsidR="00591D09" w:rsidRPr="00591D09">
          <w:rPr>
            <w:rStyle w:val="Hiperhivatkozs"/>
          </w:rPr>
          <w:t>megvizsgálta a hazai véleményvezérek marketingtevékenységét</w:t>
        </w:r>
      </w:hyperlink>
      <w:r w:rsidR="00591D09">
        <w:t>.</w:t>
      </w:r>
      <w:r w:rsidR="0020696A">
        <w:t xml:space="preserve"> A GVH jelenleg </w:t>
      </w:r>
      <w:hyperlink r:id="rId16" w:history="1">
        <w:r w:rsidR="0020696A" w:rsidRPr="00F22AA3">
          <w:rPr>
            <w:rStyle w:val="Hiperhivatkozs"/>
          </w:rPr>
          <w:t xml:space="preserve">hat </w:t>
        </w:r>
        <w:proofErr w:type="spellStart"/>
        <w:r w:rsidR="0020696A" w:rsidRPr="00F22AA3">
          <w:rPr>
            <w:rStyle w:val="Hiperhivatkozs"/>
          </w:rPr>
          <w:t>influenszerrel</w:t>
        </w:r>
        <w:proofErr w:type="spellEnd"/>
        <w:r w:rsidR="0020696A" w:rsidRPr="00F22AA3">
          <w:rPr>
            <w:rStyle w:val="Hiperhivatkozs"/>
          </w:rPr>
          <w:t xml:space="preserve"> és számos hirdető céggel, illetve közreműködő reklámügynökséggel szemben folytat versenyfelügyeleti eljárásokat</w:t>
        </w:r>
      </w:hyperlink>
      <w:r w:rsidR="0020696A">
        <w:t xml:space="preserve"> </w:t>
      </w:r>
      <w:r w:rsidR="0020696A" w:rsidRPr="00FA22C6">
        <w:t>tisztességtelen kereskedelmi gyakorlat tilalmának feltételezett megsértése miatt</w:t>
      </w:r>
      <w:r w:rsidR="0020696A">
        <w:t xml:space="preserve">, </w:t>
      </w:r>
      <w:r w:rsidR="0020696A" w:rsidRPr="00FA22C6">
        <w:t xml:space="preserve">az </w:t>
      </w:r>
      <w:proofErr w:type="spellStart"/>
      <w:r w:rsidR="0020696A" w:rsidRPr="00FA22C6">
        <w:t>influenszereket</w:t>
      </w:r>
      <w:proofErr w:type="spellEnd"/>
      <w:r w:rsidR="0020696A" w:rsidRPr="00FA22C6">
        <w:t xml:space="preserve"> követő fogyasztók és a tiszta piaci verseny elősegítése érdekében</w:t>
      </w:r>
    </w:p>
    <w:p w14:paraId="57868305" w14:textId="77777777" w:rsidR="00F52AFE" w:rsidRDefault="00F52AFE" w:rsidP="00675F74">
      <w:pPr>
        <w:spacing w:after="0"/>
        <w:ind w:left="0"/>
        <w:rPr>
          <w:b/>
          <w:bCs/>
        </w:rPr>
      </w:pPr>
    </w:p>
    <w:p w14:paraId="46B5F357" w14:textId="0A22FE49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 xml:space="preserve">GVH </w:t>
      </w:r>
      <w:r w:rsidR="00652602">
        <w:rPr>
          <w:b/>
          <w:bCs/>
        </w:rPr>
        <w:t>Kommunikáció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D93B29"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5617" w14:textId="77777777" w:rsidR="00641E9E" w:rsidRDefault="00641E9E">
      <w:pPr>
        <w:spacing w:after="0" w:line="240" w:lineRule="auto"/>
      </w:pPr>
      <w:r>
        <w:separator/>
      </w:r>
    </w:p>
  </w:endnote>
  <w:endnote w:type="continuationSeparator" w:id="0">
    <w:p w14:paraId="132738C4" w14:textId="77777777" w:rsidR="00641E9E" w:rsidRDefault="0064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726B4B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AA66F" w14:textId="77777777" w:rsidR="00641E9E" w:rsidRDefault="00641E9E">
      <w:pPr>
        <w:spacing w:after="0" w:line="240" w:lineRule="auto"/>
      </w:pPr>
      <w:r>
        <w:separator/>
      </w:r>
    </w:p>
  </w:footnote>
  <w:footnote w:type="continuationSeparator" w:id="0">
    <w:p w14:paraId="583E22BC" w14:textId="77777777" w:rsidR="00641E9E" w:rsidRDefault="0064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726B4B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F98"/>
    <w:multiLevelType w:val="hybridMultilevel"/>
    <w:tmpl w:val="D74E4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100"/>
    <w:multiLevelType w:val="hybridMultilevel"/>
    <w:tmpl w:val="7BBAF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4BCC1F83"/>
    <w:multiLevelType w:val="hybridMultilevel"/>
    <w:tmpl w:val="5346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6410B"/>
    <w:multiLevelType w:val="hybridMultilevel"/>
    <w:tmpl w:val="FD809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410A1"/>
    <w:multiLevelType w:val="hybridMultilevel"/>
    <w:tmpl w:val="41DAB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A57DA"/>
    <w:multiLevelType w:val="hybridMultilevel"/>
    <w:tmpl w:val="949ED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76D1A"/>
    <w:multiLevelType w:val="hybridMultilevel"/>
    <w:tmpl w:val="47BC8EF4"/>
    <w:lvl w:ilvl="0" w:tplc="7D78D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3489">
    <w:abstractNumId w:val="2"/>
  </w:num>
  <w:num w:numId="2" w16cid:durableId="107623771">
    <w:abstractNumId w:val="1"/>
  </w:num>
  <w:num w:numId="3" w16cid:durableId="1377386889">
    <w:abstractNumId w:val="6"/>
  </w:num>
  <w:num w:numId="4" w16cid:durableId="1159342447">
    <w:abstractNumId w:val="7"/>
  </w:num>
  <w:num w:numId="5" w16cid:durableId="1310868491">
    <w:abstractNumId w:val="0"/>
  </w:num>
  <w:num w:numId="6" w16cid:durableId="306517745">
    <w:abstractNumId w:val="5"/>
  </w:num>
  <w:num w:numId="7" w16cid:durableId="553851777">
    <w:abstractNumId w:val="3"/>
  </w:num>
  <w:num w:numId="8" w16cid:durableId="109249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55453"/>
    <w:rsid w:val="00057D8B"/>
    <w:rsid w:val="0008081F"/>
    <w:rsid w:val="0009552C"/>
    <w:rsid w:val="000D7B53"/>
    <w:rsid w:val="000E32D6"/>
    <w:rsid w:val="000F0082"/>
    <w:rsid w:val="0010333A"/>
    <w:rsid w:val="001215EE"/>
    <w:rsid w:val="001235C9"/>
    <w:rsid w:val="0013642A"/>
    <w:rsid w:val="001407FC"/>
    <w:rsid w:val="001431B4"/>
    <w:rsid w:val="001555F3"/>
    <w:rsid w:val="00170187"/>
    <w:rsid w:val="001A2699"/>
    <w:rsid w:val="001B65F1"/>
    <w:rsid w:val="001E657E"/>
    <w:rsid w:val="00202D48"/>
    <w:rsid w:val="0020696A"/>
    <w:rsid w:val="00206DF4"/>
    <w:rsid w:val="002421FB"/>
    <w:rsid w:val="002422DC"/>
    <w:rsid w:val="002574F3"/>
    <w:rsid w:val="00260E88"/>
    <w:rsid w:val="0029276A"/>
    <w:rsid w:val="002A0E05"/>
    <w:rsid w:val="002A4200"/>
    <w:rsid w:val="002A426E"/>
    <w:rsid w:val="002B55BB"/>
    <w:rsid w:val="002D7A9E"/>
    <w:rsid w:val="002F4856"/>
    <w:rsid w:val="00321D1A"/>
    <w:rsid w:val="00331DA9"/>
    <w:rsid w:val="00333B6A"/>
    <w:rsid w:val="003426FD"/>
    <w:rsid w:val="00361831"/>
    <w:rsid w:val="003C51E4"/>
    <w:rsid w:val="003E675C"/>
    <w:rsid w:val="003F10DE"/>
    <w:rsid w:val="003F366B"/>
    <w:rsid w:val="00407111"/>
    <w:rsid w:val="00412C12"/>
    <w:rsid w:val="0041642F"/>
    <w:rsid w:val="0041670B"/>
    <w:rsid w:val="00421F8D"/>
    <w:rsid w:val="00424B8A"/>
    <w:rsid w:val="00430D05"/>
    <w:rsid w:val="00436541"/>
    <w:rsid w:val="004413B5"/>
    <w:rsid w:val="004460BC"/>
    <w:rsid w:val="00456D78"/>
    <w:rsid w:val="00463C33"/>
    <w:rsid w:val="00485EEF"/>
    <w:rsid w:val="00491BFC"/>
    <w:rsid w:val="004B0548"/>
    <w:rsid w:val="004B3B4B"/>
    <w:rsid w:val="004B3DBB"/>
    <w:rsid w:val="004C33B9"/>
    <w:rsid w:val="004C64BF"/>
    <w:rsid w:val="004D4382"/>
    <w:rsid w:val="004F0EA1"/>
    <w:rsid w:val="00536F48"/>
    <w:rsid w:val="00545903"/>
    <w:rsid w:val="005566B7"/>
    <w:rsid w:val="0056273B"/>
    <w:rsid w:val="0056361B"/>
    <w:rsid w:val="00585F60"/>
    <w:rsid w:val="00591D09"/>
    <w:rsid w:val="005A0DA1"/>
    <w:rsid w:val="005A384B"/>
    <w:rsid w:val="005A4856"/>
    <w:rsid w:val="005B25E8"/>
    <w:rsid w:val="005B31C0"/>
    <w:rsid w:val="005E13E7"/>
    <w:rsid w:val="005E21B7"/>
    <w:rsid w:val="005E7373"/>
    <w:rsid w:val="005F1FA8"/>
    <w:rsid w:val="00605355"/>
    <w:rsid w:val="00626E97"/>
    <w:rsid w:val="006368CF"/>
    <w:rsid w:val="00641E9E"/>
    <w:rsid w:val="006516B2"/>
    <w:rsid w:val="00652602"/>
    <w:rsid w:val="00662D35"/>
    <w:rsid w:val="006736BD"/>
    <w:rsid w:val="00675F74"/>
    <w:rsid w:val="00687495"/>
    <w:rsid w:val="006B4B0A"/>
    <w:rsid w:val="006B5E56"/>
    <w:rsid w:val="006E1F08"/>
    <w:rsid w:val="006F4B6A"/>
    <w:rsid w:val="0070012E"/>
    <w:rsid w:val="00707021"/>
    <w:rsid w:val="0072038E"/>
    <w:rsid w:val="00721117"/>
    <w:rsid w:val="00721F53"/>
    <w:rsid w:val="00726B4B"/>
    <w:rsid w:val="0073217E"/>
    <w:rsid w:val="00736F52"/>
    <w:rsid w:val="00746477"/>
    <w:rsid w:val="00752618"/>
    <w:rsid w:val="00776520"/>
    <w:rsid w:val="00781F02"/>
    <w:rsid w:val="007855DB"/>
    <w:rsid w:val="00786EEF"/>
    <w:rsid w:val="007C327E"/>
    <w:rsid w:val="007C437E"/>
    <w:rsid w:val="007C6DFA"/>
    <w:rsid w:val="00811EE1"/>
    <w:rsid w:val="00825A2A"/>
    <w:rsid w:val="008302EE"/>
    <w:rsid w:val="00835934"/>
    <w:rsid w:val="0088284A"/>
    <w:rsid w:val="008927DB"/>
    <w:rsid w:val="008B5F1E"/>
    <w:rsid w:val="008C10B3"/>
    <w:rsid w:val="008C44CC"/>
    <w:rsid w:val="008E50D3"/>
    <w:rsid w:val="00903B86"/>
    <w:rsid w:val="00904062"/>
    <w:rsid w:val="00905BBD"/>
    <w:rsid w:val="009217CC"/>
    <w:rsid w:val="009306B9"/>
    <w:rsid w:val="00933AD1"/>
    <w:rsid w:val="009405DE"/>
    <w:rsid w:val="0094208B"/>
    <w:rsid w:val="009C2511"/>
    <w:rsid w:val="009F2A4D"/>
    <w:rsid w:val="00A03A7E"/>
    <w:rsid w:val="00A05CBB"/>
    <w:rsid w:val="00A0694E"/>
    <w:rsid w:val="00A26722"/>
    <w:rsid w:val="00A444F7"/>
    <w:rsid w:val="00A5193E"/>
    <w:rsid w:val="00A56022"/>
    <w:rsid w:val="00A577FC"/>
    <w:rsid w:val="00A715B2"/>
    <w:rsid w:val="00A87089"/>
    <w:rsid w:val="00A87DC0"/>
    <w:rsid w:val="00A87DC9"/>
    <w:rsid w:val="00A96997"/>
    <w:rsid w:val="00A96E66"/>
    <w:rsid w:val="00AB2672"/>
    <w:rsid w:val="00AB4368"/>
    <w:rsid w:val="00AB698E"/>
    <w:rsid w:val="00AE6196"/>
    <w:rsid w:val="00B13908"/>
    <w:rsid w:val="00B36E43"/>
    <w:rsid w:val="00B44630"/>
    <w:rsid w:val="00B6203E"/>
    <w:rsid w:val="00B6413F"/>
    <w:rsid w:val="00B814DA"/>
    <w:rsid w:val="00B8194D"/>
    <w:rsid w:val="00B85494"/>
    <w:rsid w:val="00B93881"/>
    <w:rsid w:val="00BA4EA9"/>
    <w:rsid w:val="00BB7BC6"/>
    <w:rsid w:val="00BC3DFB"/>
    <w:rsid w:val="00BC4099"/>
    <w:rsid w:val="00BD3A16"/>
    <w:rsid w:val="00C06E70"/>
    <w:rsid w:val="00C25391"/>
    <w:rsid w:val="00C361BC"/>
    <w:rsid w:val="00C443A1"/>
    <w:rsid w:val="00C62644"/>
    <w:rsid w:val="00C72051"/>
    <w:rsid w:val="00C834E6"/>
    <w:rsid w:val="00C87708"/>
    <w:rsid w:val="00C9649F"/>
    <w:rsid w:val="00CA2EBA"/>
    <w:rsid w:val="00CB142A"/>
    <w:rsid w:val="00CC2AED"/>
    <w:rsid w:val="00CD63D8"/>
    <w:rsid w:val="00CD72AC"/>
    <w:rsid w:val="00D213C7"/>
    <w:rsid w:val="00D31443"/>
    <w:rsid w:val="00D53D9B"/>
    <w:rsid w:val="00D74AF1"/>
    <w:rsid w:val="00D8179F"/>
    <w:rsid w:val="00D93B29"/>
    <w:rsid w:val="00DB464B"/>
    <w:rsid w:val="00DB780D"/>
    <w:rsid w:val="00DD0C2E"/>
    <w:rsid w:val="00DF1B75"/>
    <w:rsid w:val="00DF35CB"/>
    <w:rsid w:val="00E00774"/>
    <w:rsid w:val="00E01CA3"/>
    <w:rsid w:val="00E10913"/>
    <w:rsid w:val="00E1442E"/>
    <w:rsid w:val="00E33ACD"/>
    <w:rsid w:val="00E34509"/>
    <w:rsid w:val="00E45607"/>
    <w:rsid w:val="00E665BD"/>
    <w:rsid w:val="00EC4637"/>
    <w:rsid w:val="00EC7BC5"/>
    <w:rsid w:val="00EE0B58"/>
    <w:rsid w:val="00F13997"/>
    <w:rsid w:val="00F22850"/>
    <w:rsid w:val="00F22CD6"/>
    <w:rsid w:val="00F261FE"/>
    <w:rsid w:val="00F50EB4"/>
    <w:rsid w:val="00F52AFE"/>
    <w:rsid w:val="00F85918"/>
    <w:rsid w:val="00FA6D3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document/8af13e88-6540-436c-b137-9853e7fe866a_en" TargetMode="External"/><Relationship Id="rId13" Type="http://schemas.openxmlformats.org/officeDocument/2006/relationships/hyperlink" Target="https://www.gvh.hu/gvh/digitalis-tini-program/digitalis-tini-progra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vh.hu/fogyasztoknak/gondolja_vegig_higgadta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vh.hu/sajtoszoba/sajtokozlemenyek/2024-es-sajtokozlemenyek/fellep-a-gvh-a-nepszeru-influenszereket-koveto-fogyasztok-erdekeb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5-os-sajtokozlemenyek/virtualis-csapdak-a-jatekok-vilagaban-a-gvh-ova-inti-a-jatekosokat-es-a-szulok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4-es-sajtokozlemenyek/zurzavar--europa-szerte-jokora-kaosz-van-az-influenszerek-reklamozasaban" TargetMode="External"/><Relationship Id="rId10" Type="http://schemas.openxmlformats.org/officeDocument/2006/relationships/hyperlink" Target="https://www.gvh.hu/sajtoszoba/sajtokozlemenyek/2024-es-sajtokozlemenyek/tul-sokat-nyomkodja-a-gyerek-a-mobilt-a-szunidoben-nagyobb-veszelyben-lehet-mint-gondolnan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c.europa.eu/commission/presscorner/detail/en/ip_25_831" TargetMode="External"/><Relationship Id="rId14" Type="http://schemas.openxmlformats.org/officeDocument/2006/relationships/hyperlink" Target="https://gvh.hu/pfile/file?path=/szakmai_felhasznaloknak/tajekoztatok/Tajekoztato_az_influenszer_marketingrol.pdf1&amp;inline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4934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2</cp:revision>
  <dcterms:created xsi:type="dcterms:W3CDTF">2025-03-28T11:16:00Z</dcterms:created>
  <dcterms:modified xsi:type="dcterms:W3CDTF">2025-03-28T11:16:00Z</dcterms:modified>
</cp:coreProperties>
</file>