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AE3A" w14:textId="4985DCD4" w:rsidR="0055648D" w:rsidRPr="00171CCD" w:rsidRDefault="006C0CB3" w:rsidP="00A915F2">
      <w:pPr>
        <w:tabs>
          <w:tab w:val="left" w:pos="567"/>
        </w:tabs>
        <w:spacing w:after="80"/>
        <w:ind w:left="-340" w:right="-34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171CCD">
        <w:rPr>
          <w:b/>
          <w:bCs/>
          <w:sz w:val="28"/>
          <w:szCs w:val="28"/>
        </w:rPr>
        <w:t>Ne dőljön be az üdülési jogo</w:t>
      </w:r>
      <w:r w:rsidR="006B3681" w:rsidRPr="00171CCD">
        <w:rPr>
          <w:b/>
          <w:bCs/>
          <w:sz w:val="28"/>
          <w:szCs w:val="28"/>
        </w:rPr>
        <w:t xml:space="preserve">kkal kapcsolatos csalásoknak! – </w:t>
      </w:r>
      <w:r w:rsidR="00E84531">
        <w:rPr>
          <w:b/>
          <w:bCs/>
          <w:sz w:val="28"/>
          <w:szCs w:val="28"/>
        </w:rPr>
        <w:t xml:space="preserve">már nem először </w:t>
      </w:r>
      <w:r w:rsidR="007B4BA9" w:rsidRPr="00171CCD">
        <w:rPr>
          <w:b/>
          <w:bCs/>
          <w:sz w:val="28"/>
          <w:szCs w:val="28"/>
        </w:rPr>
        <w:t>hívja fel a figyelmet</w:t>
      </w:r>
      <w:r w:rsidR="00E84531">
        <w:rPr>
          <w:b/>
          <w:bCs/>
          <w:sz w:val="28"/>
          <w:szCs w:val="28"/>
        </w:rPr>
        <w:t xml:space="preserve"> erre a</w:t>
      </w:r>
      <w:r w:rsidR="007B4BA9" w:rsidRPr="00171CCD">
        <w:rPr>
          <w:b/>
          <w:bCs/>
          <w:sz w:val="28"/>
          <w:szCs w:val="28"/>
        </w:rPr>
        <w:t xml:space="preserve"> GVH</w:t>
      </w:r>
    </w:p>
    <w:p w14:paraId="65AEC5FC" w14:textId="5670363E" w:rsidR="00A915F2" w:rsidRPr="004773D3" w:rsidRDefault="0055648D" w:rsidP="00A915F2">
      <w:pPr>
        <w:tabs>
          <w:tab w:val="left" w:pos="567"/>
        </w:tabs>
        <w:spacing w:after="80"/>
        <w:ind w:left="-340" w:right="-340"/>
        <w:rPr>
          <w:i/>
          <w:iCs/>
        </w:rPr>
      </w:pPr>
      <w:r w:rsidRPr="004773D3">
        <w:rPr>
          <w:i/>
          <w:iCs/>
        </w:rPr>
        <w:t xml:space="preserve">Gondolja Végig Higgadtan - </w:t>
      </w:r>
      <w:r w:rsidR="00EF0D28" w:rsidRPr="004773D3">
        <w:rPr>
          <w:i/>
          <w:iCs/>
        </w:rPr>
        <w:t xml:space="preserve">Tájékoztató anyagokkal segít a GVH </w:t>
      </w:r>
    </w:p>
    <w:p w14:paraId="0A6CCF96" w14:textId="1E8022AC" w:rsidR="003C61A3" w:rsidRDefault="00361831" w:rsidP="003C61A3">
      <w:pPr>
        <w:tabs>
          <w:tab w:val="left" w:pos="567"/>
        </w:tabs>
        <w:spacing w:after="80"/>
        <w:ind w:left="-340" w:right="-34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690A8A">
        <w:rPr>
          <w:b/>
        </w:rPr>
        <w:t>5. március</w:t>
      </w:r>
      <w:r w:rsidR="00E84531">
        <w:rPr>
          <w:b/>
        </w:rPr>
        <w:t xml:space="preserve"> </w:t>
      </w:r>
      <w:r w:rsidR="00F23E7F">
        <w:rPr>
          <w:b/>
        </w:rPr>
        <w:t>20.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797736">
        <w:rPr>
          <w:rStyle w:val="Kiemels2"/>
          <w:rFonts w:eastAsiaTheme="majorEastAsia"/>
          <w:bCs w:val="0"/>
        </w:rPr>
        <w:t xml:space="preserve">A </w:t>
      </w:r>
      <w:r w:rsidR="00B3095B">
        <w:rPr>
          <w:rStyle w:val="Kiemels2"/>
          <w:rFonts w:eastAsiaTheme="majorEastAsia"/>
          <w:bCs w:val="0"/>
        </w:rPr>
        <w:t>Gazdasági Versenyhivatal</w:t>
      </w:r>
      <w:r w:rsidR="00797736">
        <w:rPr>
          <w:rStyle w:val="Kiemels2"/>
          <w:rFonts w:eastAsiaTheme="majorEastAsia"/>
          <w:bCs w:val="0"/>
        </w:rPr>
        <w:t xml:space="preserve"> az elmúlt évtizedekben számos eljárás</w:t>
      </w:r>
      <w:r w:rsidR="007329A8">
        <w:rPr>
          <w:rStyle w:val="Kiemels2"/>
          <w:rFonts w:eastAsiaTheme="majorEastAsia"/>
          <w:bCs w:val="0"/>
        </w:rPr>
        <w:t xml:space="preserve">ában vizsgálta </w:t>
      </w:r>
      <w:r w:rsidR="00797736">
        <w:rPr>
          <w:rStyle w:val="Kiemels2"/>
          <w:rFonts w:eastAsiaTheme="majorEastAsia"/>
          <w:bCs w:val="0"/>
        </w:rPr>
        <w:t xml:space="preserve">az </w:t>
      </w:r>
      <w:r w:rsidR="00797736" w:rsidRPr="00797736">
        <w:rPr>
          <w:rStyle w:val="Kiemels2"/>
          <w:rFonts w:eastAsiaTheme="majorEastAsia"/>
          <w:bCs w:val="0"/>
        </w:rPr>
        <w:t>üdülőhasználati jogok másodlagos értékesítésével</w:t>
      </w:r>
      <w:r w:rsidR="00797736">
        <w:rPr>
          <w:rStyle w:val="Kiemels2"/>
          <w:rFonts w:eastAsiaTheme="majorEastAsia"/>
          <w:bCs w:val="0"/>
        </w:rPr>
        <w:t xml:space="preserve"> összefüggő</w:t>
      </w:r>
      <w:r w:rsidR="00B3095B">
        <w:rPr>
          <w:rStyle w:val="Kiemels2"/>
          <w:rFonts w:eastAsiaTheme="majorEastAsia"/>
          <w:bCs w:val="0"/>
        </w:rPr>
        <w:t xml:space="preserve"> megtéveszt</w:t>
      </w:r>
      <w:r w:rsidR="007B4BA9">
        <w:rPr>
          <w:rStyle w:val="Kiemels2"/>
          <w:rFonts w:eastAsiaTheme="majorEastAsia"/>
          <w:bCs w:val="0"/>
        </w:rPr>
        <w:t>éseket</w:t>
      </w:r>
      <w:r w:rsidR="00097BBB">
        <w:rPr>
          <w:rStyle w:val="Kiemels2"/>
          <w:rFonts w:eastAsiaTheme="majorEastAsia"/>
          <w:bCs w:val="0"/>
        </w:rPr>
        <w:t xml:space="preserve">. </w:t>
      </w:r>
      <w:r w:rsidR="00797736">
        <w:rPr>
          <w:rStyle w:val="Kiemels2"/>
          <w:rFonts w:eastAsiaTheme="majorEastAsia"/>
          <w:bCs w:val="0"/>
        </w:rPr>
        <w:t>A folyamatos</w:t>
      </w:r>
      <w:r w:rsidR="00435148">
        <w:rPr>
          <w:rStyle w:val="Kiemels2"/>
          <w:rFonts w:eastAsiaTheme="majorEastAsia"/>
          <w:bCs w:val="0"/>
        </w:rPr>
        <w:t xml:space="preserve"> és aktív</w:t>
      </w:r>
      <w:r w:rsidR="00797736">
        <w:rPr>
          <w:rStyle w:val="Kiemels2"/>
          <w:rFonts w:eastAsiaTheme="majorEastAsia"/>
          <w:bCs w:val="0"/>
        </w:rPr>
        <w:t xml:space="preserve"> hatósági fellépés ellenére ezen átverések</w:t>
      </w:r>
      <w:r w:rsidR="00097BBB">
        <w:rPr>
          <w:rStyle w:val="Kiemels2"/>
          <w:rFonts w:eastAsiaTheme="majorEastAsia"/>
          <w:bCs w:val="0"/>
        </w:rPr>
        <w:t xml:space="preserve"> azonban</w:t>
      </w:r>
      <w:r w:rsidR="00797736">
        <w:rPr>
          <w:rStyle w:val="Kiemels2"/>
          <w:rFonts w:eastAsiaTheme="majorEastAsia"/>
          <w:bCs w:val="0"/>
        </w:rPr>
        <w:t xml:space="preserve"> továbbra is </w:t>
      </w:r>
      <w:r w:rsidR="00E84531">
        <w:rPr>
          <w:rStyle w:val="Kiemels2"/>
          <w:rFonts w:eastAsiaTheme="majorEastAsia"/>
          <w:bCs w:val="0"/>
        </w:rPr>
        <w:t>komoly</w:t>
      </w:r>
      <w:r w:rsidR="00797736">
        <w:rPr>
          <w:rStyle w:val="Kiemels2"/>
          <w:rFonts w:eastAsiaTheme="majorEastAsia"/>
          <w:bCs w:val="0"/>
        </w:rPr>
        <w:t xml:space="preserve"> veszélyt jelentenek, különösen az idősebb és anyagilag </w:t>
      </w:r>
      <w:r w:rsidR="00E84531">
        <w:rPr>
          <w:rStyle w:val="Kiemels2"/>
          <w:rFonts w:eastAsiaTheme="majorEastAsia"/>
          <w:bCs w:val="0"/>
        </w:rPr>
        <w:t xml:space="preserve">nehezebb helyzetben lévő </w:t>
      </w:r>
      <w:r w:rsidR="00797736">
        <w:rPr>
          <w:rStyle w:val="Kiemels2"/>
          <w:rFonts w:eastAsiaTheme="majorEastAsia"/>
          <w:bCs w:val="0"/>
        </w:rPr>
        <w:t xml:space="preserve">fogyasztókra. </w:t>
      </w:r>
    </w:p>
    <w:p w14:paraId="073A7EC8" w14:textId="300159B4" w:rsidR="003C61A3" w:rsidRPr="003C61A3" w:rsidRDefault="003C61A3" w:rsidP="003C61A3">
      <w:pPr>
        <w:tabs>
          <w:tab w:val="left" w:pos="567"/>
        </w:tabs>
        <w:spacing w:after="80"/>
        <w:ind w:left="-340" w:right="-340"/>
        <w:rPr>
          <w:rFonts w:eastAsiaTheme="majorEastAsia"/>
          <w:b/>
        </w:rPr>
      </w:pPr>
      <w:r>
        <w:t xml:space="preserve">Az üdülési jogok piaca Magyarországon 20-30 éve élte aranykorát, azonban az </w:t>
      </w:r>
      <w:r w:rsidRPr="00DF6740">
        <w:t xml:space="preserve">élénk érdeklődés mára szinte teljesen megszűnt. A tulajdonosok – akik </w:t>
      </w:r>
      <w:proofErr w:type="spellStart"/>
      <w:r w:rsidRPr="00DF6740">
        <w:t>esetenként</w:t>
      </w:r>
      <w:proofErr w:type="spellEnd"/>
      <w:r w:rsidRPr="00DF6740">
        <w:t xml:space="preserve"> már az örökösök – nem mindig tudják</w:t>
      </w:r>
      <w:r w:rsidR="00E84531">
        <w:t>,</w:t>
      </w:r>
      <w:r w:rsidRPr="00DF6740">
        <w:t xml:space="preserve"> vagy</w:t>
      </w:r>
      <w:r w:rsidR="00171CCD">
        <w:t xml:space="preserve"> éppen</w:t>
      </w:r>
      <w:r w:rsidRPr="00DF6740">
        <w:t xml:space="preserve"> akarják igénybe venni az üdülési jog</w:t>
      </w:r>
      <w:r w:rsidR="00171CCD">
        <w:t>ukat, ennek ellenére az ezzel járó költségeket a szerződés</w:t>
      </w:r>
      <w:r w:rsidR="00E84531">
        <w:t>ek</w:t>
      </w:r>
      <w:r w:rsidR="00171CCD">
        <w:t xml:space="preserve"> lejáratáig fizetniük kell. </w:t>
      </w:r>
      <w:r w:rsidRPr="00DF6740">
        <w:t>Az üdülési jogok fenntartása tehát egyre inkább „ráfizetéses” az üdülési joggal rendelkező fogyasztók számára, akik ezért szeretnék azt értékesíteni</w:t>
      </w:r>
      <w:r>
        <w:t xml:space="preserve">, ez </w:t>
      </w:r>
      <w:r w:rsidRPr="00DF6740">
        <w:t xml:space="preserve">azonban </w:t>
      </w:r>
      <w:hyperlink r:id="rId8" w:history="1">
        <w:r w:rsidRPr="003C61A3">
          <w:rPr>
            <w:rStyle w:val="Hiperhivatkozs"/>
          </w:rPr>
          <w:t>több okból is</w:t>
        </w:r>
        <w:r w:rsidR="00E84531">
          <w:rPr>
            <w:rStyle w:val="Hiperhivatkozs"/>
          </w:rPr>
          <w:t xml:space="preserve"> komoly</w:t>
        </w:r>
        <w:r w:rsidRPr="003C61A3">
          <w:rPr>
            <w:rStyle w:val="Hiperhivatkozs"/>
          </w:rPr>
          <w:t xml:space="preserve"> nehézségekbe ütközik.</w:t>
        </w:r>
      </w:hyperlink>
    </w:p>
    <w:p w14:paraId="30504C97" w14:textId="07CAE165" w:rsidR="00836414" w:rsidRDefault="00836414" w:rsidP="003C61A3">
      <w:pPr>
        <w:tabs>
          <w:tab w:val="left" w:pos="567"/>
        </w:tabs>
        <w:spacing w:after="80"/>
        <w:ind w:left="-340" w:right="-340"/>
        <w:rPr>
          <w:rFonts w:eastAsiaTheme="majorEastAsia"/>
          <w:b/>
        </w:rPr>
      </w:pPr>
      <w:r w:rsidRPr="00DF6740">
        <w:t>Egyrészt az üdülési jogok határozott időre szólnak, a</w:t>
      </w:r>
      <w:r w:rsidR="00171CCD">
        <w:t xml:space="preserve"> </w:t>
      </w:r>
      <w:r w:rsidRPr="00DF6740">
        <w:t xml:space="preserve">felmondás csak közös megegyezéssel – az üdülési jog szolgáltató által </w:t>
      </w:r>
      <w:r w:rsidR="00171CCD">
        <w:t>meghatározott feltételek</w:t>
      </w:r>
      <w:r w:rsidRPr="00DF6740">
        <w:t xml:space="preserve"> szerint – lehetséges.</w:t>
      </w:r>
      <w:r w:rsidR="003C61A3">
        <w:t xml:space="preserve"> </w:t>
      </w:r>
      <w:r w:rsidRPr="00DF6740">
        <w:t xml:space="preserve">Másrészt, mivel napjainkban </w:t>
      </w:r>
      <w:r w:rsidR="00E84531">
        <w:t>kevesen vannak azok, akik hajlandóak</w:t>
      </w:r>
      <w:r w:rsidRPr="00DF6740">
        <w:t xml:space="preserve"> több tíz évre előre lekötni mag</w:t>
      </w:r>
      <w:r w:rsidR="00E84531">
        <w:t>ukat</w:t>
      </w:r>
      <w:r w:rsidRPr="00DF6740">
        <w:t xml:space="preserve"> ugyanahhoz a helyszínhez</w:t>
      </w:r>
      <w:r w:rsidR="00E84531">
        <w:t>, illetve előre meghatározott</w:t>
      </w:r>
      <w:r w:rsidRPr="00DF6740">
        <w:t xml:space="preserve"> időpontokhoz, az üdülési jogok</w:t>
      </w:r>
      <w:r w:rsidR="00171CCD">
        <w:t>ra ma</w:t>
      </w:r>
      <w:r w:rsidR="00E84531">
        <w:t xml:space="preserve"> már csak elenyésző</w:t>
      </w:r>
      <w:r w:rsidR="00171CCD">
        <w:t xml:space="preserve"> kereslet</w:t>
      </w:r>
      <w:r w:rsidR="00E84531">
        <w:t xml:space="preserve"> mutatkozik, ezért </w:t>
      </w:r>
      <w:r w:rsidR="00171CCD">
        <w:t>azok</w:t>
      </w:r>
      <w:r w:rsidRPr="00DF6740">
        <w:t xml:space="preserve"> </w:t>
      </w:r>
      <w:r w:rsidR="00171CCD">
        <w:t>eladása</w:t>
      </w:r>
      <w:r w:rsidRPr="00DF6740">
        <w:t xml:space="preserve"> szinte lehetetlen. </w:t>
      </w:r>
    </w:p>
    <w:p w14:paraId="6F9982CD" w14:textId="6F2C0EAE" w:rsidR="00087D75" w:rsidRDefault="00087D75" w:rsidP="00087D75">
      <w:pPr>
        <w:tabs>
          <w:tab w:val="left" w:pos="567"/>
        </w:tabs>
        <w:spacing w:after="80"/>
        <w:ind w:left="-340" w:right="-340"/>
      </w:pPr>
      <w:r>
        <w:t xml:space="preserve">Ezt kihasználva bizonyos vállalkozások </w:t>
      </w:r>
      <w:r w:rsidR="00E84531">
        <w:t xml:space="preserve">olyan, </w:t>
      </w:r>
      <w:r w:rsidR="00171CCD" w:rsidRPr="00DF6740">
        <w:t>gyors értékesítési lehetőségeket</w:t>
      </w:r>
      <w:r w:rsidR="00E84531">
        <w:t>, megoldási javaslatot</w:t>
      </w:r>
      <w:r w:rsidR="00171CCD">
        <w:t xml:space="preserve"> kínálnak</w:t>
      </w:r>
      <w:r w:rsidR="00171CCD" w:rsidRPr="00DF6740">
        <w:t xml:space="preserve"> </w:t>
      </w:r>
      <w:r w:rsidRPr="00DF6740">
        <w:t>a feleslegessé vált üdülési jogtól megszabadulni vágyó magyar családoknak, többnyire idős embereknek</w:t>
      </w:r>
      <w:r w:rsidR="00171CCD">
        <w:t xml:space="preserve">, </w:t>
      </w:r>
      <w:r w:rsidRPr="00DF6740">
        <w:t>amelyekről eleve tudják, hogy</w:t>
      </w:r>
      <w:r w:rsidR="00E84531">
        <w:t xml:space="preserve"> azok</w:t>
      </w:r>
      <w:r w:rsidRPr="00DF6740">
        <w:t xml:space="preserve"> nem működőképesek.</w:t>
      </w:r>
    </w:p>
    <w:p w14:paraId="5E6914F7" w14:textId="10732333" w:rsidR="006C0CB3" w:rsidRPr="00DF6740" w:rsidRDefault="006C0CB3" w:rsidP="00087D75">
      <w:pPr>
        <w:tabs>
          <w:tab w:val="left" w:pos="567"/>
        </w:tabs>
        <w:spacing w:after="80"/>
        <w:ind w:left="-340" w:right="-340"/>
      </w:pPr>
      <w:r w:rsidRPr="00DF6740">
        <w:t>Az üdülési jogok értékesítése nehéz feladat, de mielőtt segítséget venne igénybe, fontolja meg az alábbiakat</w:t>
      </w:r>
      <w:r w:rsidR="00171CCD">
        <w:t xml:space="preserve">: </w:t>
      </w:r>
      <w:r w:rsidRPr="00DF6740">
        <w:t xml:space="preserve"> </w:t>
      </w:r>
    </w:p>
    <w:p w14:paraId="00561F53" w14:textId="083C10B1" w:rsidR="006C0CB3" w:rsidRPr="00DF6740" w:rsidRDefault="006C0CB3" w:rsidP="00BE4D21">
      <w:pPr>
        <w:pStyle w:val="Listaszerbekezds"/>
        <w:numPr>
          <w:ilvl w:val="0"/>
          <w:numId w:val="6"/>
        </w:numPr>
        <w:spacing w:before="120" w:after="120" w:line="240" w:lineRule="auto"/>
      </w:pPr>
      <w:r w:rsidRPr="00DF6740">
        <w:t xml:space="preserve">Mindig </w:t>
      </w:r>
      <w:r w:rsidRPr="00BE4D21">
        <w:rPr>
          <w:b/>
          <w:bCs/>
        </w:rPr>
        <w:t>tájékozódjon</w:t>
      </w:r>
      <w:r w:rsidRPr="00DF6740">
        <w:t xml:space="preserve"> az üdülési jog értékesítésében segítséget ajánló </w:t>
      </w:r>
      <w:r w:rsidRPr="00BE4D21">
        <w:rPr>
          <w:b/>
          <w:bCs/>
        </w:rPr>
        <w:t>vállalkozásokról</w:t>
      </w:r>
      <w:r w:rsidRPr="00DF6740">
        <w:t>!</w:t>
      </w:r>
    </w:p>
    <w:p w14:paraId="02FC7398" w14:textId="77777777" w:rsidR="006C0CB3" w:rsidRPr="00DF6740" w:rsidRDefault="006C0CB3" w:rsidP="00BE4D21">
      <w:pPr>
        <w:pStyle w:val="Listaszerbekezds"/>
        <w:numPr>
          <w:ilvl w:val="0"/>
          <w:numId w:val="6"/>
        </w:numPr>
        <w:spacing w:before="120" w:after="120" w:line="240" w:lineRule="auto"/>
      </w:pPr>
      <w:r w:rsidRPr="00DF6740">
        <w:t xml:space="preserve">Soha </w:t>
      </w:r>
      <w:r w:rsidRPr="00BE4D21">
        <w:rPr>
          <w:b/>
          <w:bCs/>
        </w:rPr>
        <w:t>ne hagyja magát</w:t>
      </w:r>
      <w:r w:rsidRPr="00DF6740">
        <w:t xml:space="preserve"> csupán a </w:t>
      </w:r>
      <w:r w:rsidRPr="00BE4D21">
        <w:rPr>
          <w:b/>
          <w:bCs/>
        </w:rPr>
        <w:t xml:space="preserve">szóban </w:t>
      </w:r>
      <w:r w:rsidRPr="00DF6740">
        <w:t xml:space="preserve">elhangzottak alapján </w:t>
      </w:r>
      <w:r w:rsidRPr="00BE4D21">
        <w:rPr>
          <w:b/>
          <w:bCs/>
        </w:rPr>
        <w:t>meggyőzni</w:t>
      </w:r>
      <w:r w:rsidRPr="00DF6740">
        <w:t xml:space="preserve">! </w:t>
      </w:r>
    </w:p>
    <w:p w14:paraId="29EB49CA" w14:textId="5E53A576" w:rsidR="006C0CB3" w:rsidRPr="00DF6740" w:rsidRDefault="006C0CB3" w:rsidP="006C0CB3">
      <w:pPr>
        <w:numPr>
          <w:ilvl w:val="0"/>
          <w:numId w:val="4"/>
        </w:numPr>
        <w:spacing w:before="120" w:after="120" w:line="240" w:lineRule="auto"/>
      </w:pPr>
      <w:r w:rsidRPr="00DF6740">
        <w:t>Kérjen az ajánlat minden részletéről előzetes írásos tájékoztatót</w:t>
      </w:r>
      <w:r w:rsidR="0006589E">
        <w:t>.</w:t>
      </w:r>
    </w:p>
    <w:p w14:paraId="427A9BBE" w14:textId="68576D26" w:rsidR="006C0CB3" w:rsidRPr="00DF6740" w:rsidRDefault="0006589E" w:rsidP="006C0CB3">
      <w:pPr>
        <w:numPr>
          <w:ilvl w:val="0"/>
          <w:numId w:val="4"/>
        </w:numPr>
        <w:spacing w:before="120" w:after="120" w:line="240" w:lineRule="auto"/>
      </w:pPr>
      <w:r>
        <w:t>K</w:t>
      </w:r>
      <w:r w:rsidR="006C0CB3" w:rsidRPr="00DF6740">
        <w:t>onzultáljon családtagjával, jogi képviselővel mielőtt bármit aláírna!</w:t>
      </w:r>
    </w:p>
    <w:p w14:paraId="74B5AC03" w14:textId="134A0A8F" w:rsidR="006C0CB3" w:rsidRPr="00DF6740" w:rsidRDefault="006C0CB3" w:rsidP="00BE4D21">
      <w:pPr>
        <w:pStyle w:val="Listaszerbekezds"/>
        <w:numPr>
          <w:ilvl w:val="0"/>
          <w:numId w:val="7"/>
        </w:numPr>
        <w:spacing w:before="120" w:after="120" w:line="240" w:lineRule="auto"/>
      </w:pPr>
      <w:r w:rsidRPr="00BE4D21">
        <w:rPr>
          <w:b/>
          <w:bCs/>
        </w:rPr>
        <w:t>Olvassa végig</w:t>
      </w:r>
      <w:r w:rsidRPr="00DF6740">
        <w:t xml:space="preserve"> alaposan a </w:t>
      </w:r>
      <w:r w:rsidRPr="00BE4D21">
        <w:rPr>
          <w:b/>
          <w:bCs/>
        </w:rPr>
        <w:t>szerződéseket</w:t>
      </w:r>
      <w:r w:rsidRPr="00DF6740">
        <w:t xml:space="preserve"> és a hozzá kapcsolódó dokumentumokat! </w:t>
      </w:r>
    </w:p>
    <w:p w14:paraId="7894EB78" w14:textId="77777777" w:rsidR="006C0CB3" w:rsidRPr="00DF6740" w:rsidRDefault="006C0CB3" w:rsidP="006C0CB3">
      <w:pPr>
        <w:numPr>
          <w:ilvl w:val="0"/>
          <w:numId w:val="4"/>
        </w:numPr>
        <w:spacing w:before="120" w:after="120" w:line="240" w:lineRule="auto"/>
      </w:pPr>
      <w:r w:rsidRPr="00DF6740">
        <w:t xml:space="preserve">Kételkedjen, amennyiben magyartalan, </w:t>
      </w:r>
      <w:proofErr w:type="spellStart"/>
      <w:r w:rsidRPr="00DF6740">
        <w:t>nyelvtanilag</w:t>
      </w:r>
      <w:proofErr w:type="spellEnd"/>
      <w:r w:rsidRPr="00DF6740">
        <w:t xml:space="preserve"> nem helyes, értelmetlen mondatokkal találkozik,</w:t>
      </w:r>
    </w:p>
    <w:p w14:paraId="041A4884" w14:textId="77777777" w:rsidR="006C0CB3" w:rsidRPr="00DF6740" w:rsidRDefault="006C0CB3" w:rsidP="006C0CB3">
      <w:pPr>
        <w:numPr>
          <w:ilvl w:val="0"/>
          <w:numId w:val="4"/>
        </w:numPr>
        <w:spacing w:before="120" w:after="120" w:line="240" w:lineRule="auto"/>
      </w:pPr>
      <w:r w:rsidRPr="00DF6740">
        <w:t>semmilyen dokumentumot ne írjon alá, amennyiben azt nem tudja értelmezni,</w:t>
      </w:r>
    </w:p>
    <w:p w14:paraId="7F5CB568" w14:textId="3EE80272" w:rsidR="006C0CB3" w:rsidRPr="00DF6740" w:rsidRDefault="006C0CB3" w:rsidP="006C0CB3">
      <w:pPr>
        <w:numPr>
          <w:ilvl w:val="0"/>
          <w:numId w:val="4"/>
        </w:numPr>
        <w:spacing w:before="120" w:after="120" w:line="240" w:lineRule="auto"/>
      </w:pPr>
      <w:r w:rsidRPr="00DF6740">
        <w:t>kérdezzen utána az ajánlatban szereplő valamennyi Önt terhelő és akár a későbbiekben felmerülő költségről!</w:t>
      </w:r>
    </w:p>
    <w:p w14:paraId="22A86599" w14:textId="77777777" w:rsidR="006C0CB3" w:rsidRPr="00DF6740" w:rsidRDefault="006C0CB3" w:rsidP="00BE4D21">
      <w:pPr>
        <w:pStyle w:val="Listaszerbekezds"/>
        <w:numPr>
          <w:ilvl w:val="0"/>
          <w:numId w:val="7"/>
        </w:numPr>
        <w:spacing w:before="120" w:after="120" w:line="240" w:lineRule="auto"/>
      </w:pPr>
      <w:r w:rsidRPr="00DF6740">
        <w:t xml:space="preserve">Mindig </w:t>
      </w:r>
      <w:r w:rsidRPr="00BE4D21">
        <w:rPr>
          <w:b/>
          <w:bCs/>
        </w:rPr>
        <w:t>legyen gyanús</w:t>
      </w:r>
      <w:r w:rsidRPr="00DF6740">
        <w:t xml:space="preserve">, ha ilyen vagy ehhez hasonló állításokkal találkozik: </w:t>
      </w:r>
    </w:p>
    <w:p w14:paraId="314E5A27" w14:textId="77777777" w:rsidR="006C0CB3" w:rsidRPr="00DF6740" w:rsidRDefault="006C0CB3" w:rsidP="006C0CB3">
      <w:pPr>
        <w:numPr>
          <w:ilvl w:val="0"/>
          <w:numId w:val="3"/>
        </w:numPr>
        <w:spacing w:before="120" w:after="120" w:line="240" w:lineRule="auto"/>
        <w:rPr>
          <w:i/>
          <w:iCs/>
        </w:rPr>
      </w:pPr>
      <w:r w:rsidRPr="00DF6740">
        <w:rPr>
          <w:i/>
          <w:iCs/>
        </w:rPr>
        <w:t>„kisebb anyagi ráfordítás mellett módosítjuk a meglévő szerződését, a módosult konstrukció révén könnyebben, gyorsabban és magasabb áron szabadulhat meg üdülési jogától”;</w:t>
      </w:r>
    </w:p>
    <w:p w14:paraId="25E54D28" w14:textId="77777777" w:rsidR="006C0CB3" w:rsidRPr="00DF6740" w:rsidRDefault="006C0CB3" w:rsidP="006C0CB3">
      <w:pPr>
        <w:numPr>
          <w:ilvl w:val="0"/>
          <w:numId w:val="3"/>
        </w:numPr>
        <w:spacing w:before="120" w:after="120" w:line="240" w:lineRule="auto"/>
        <w:rPr>
          <w:i/>
          <w:iCs/>
        </w:rPr>
      </w:pPr>
      <w:r w:rsidRPr="00DF6740">
        <w:rPr>
          <w:i/>
          <w:iCs/>
        </w:rPr>
        <w:lastRenderedPageBreak/>
        <w:t>„korábban megszűnt üdülési joghoz kapcsolódóan utólagos „díjvisszafizetést” /kárpótlást adunk”</w:t>
      </w:r>
    </w:p>
    <w:p w14:paraId="68CDB9D7" w14:textId="77777777" w:rsidR="006C0CB3" w:rsidRPr="00DF6740" w:rsidRDefault="006C0CB3" w:rsidP="006C0CB3">
      <w:pPr>
        <w:numPr>
          <w:ilvl w:val="0"/>
          <w:numId w:val="3"/>
        </w:numPr>
        <w:spacing w:before="120" w:after="120" w:line="240" w:lineRule="auto"/>
        <w:rPr>
          <w:i/>
          <w:iCs/>
        </w:rPr>
      </w:pPr>
      <w:r w:rsidRPr="00DF6740">
        <w:rPr>
          <w:i/>
          <w:iCs/>
        </w:rPr>
        <w:t>„már megvan a vevő az Ön üdülési jogára/ potenciális vevő megbízásából kerestük fel Önt”</w:t>
      </w:r>
    </w:p>
    <w:p w14:paraId="375F63CB" w14:textId="77777777" w:rsidR="006C0CB3" w:rsidRPr="00DF6740" w:rsidRDefault="006C0CB3" w:rsidP="006C0CB3">
      <w:pPr>
        <w:numPr>
          <w:ilvl w:val="0"/>
          <w:numId w:val="3"/>
        </w:numPr>
        <w:spacing w:before="120" w:after="120" w:line="240" w:lineRule="auto"/>
        <w:rPr>
          <w:i/>
          <w:iCs/>
        </w:rPr>
      </w:pPr>
      <w:r w:rsidRPr="00DF6740">
        <w:rPr>
          <w:i/>
          <w:iCs/>
        </w:rPr>
        <w:t>„garantáljuk, hogy üdülési jogát kedvező áron és gyorsan értékesítjük”</w:t>
      </w:r>
    </w:p>
    <w:p w14:paraId="618431CB" w14:textId="77777777" w:rsidR="006C0CB3" w:rsidRPr="00DF6740" w:rsidRDefault="006C0CB3" w:rsidP="006C0CB3">
      <w:pPr>
        <w:numPr>
          <w:ilvl w:val="0"/>
          <w:numId w:val="3"/>
        </w:numPr>
        <w:spacing w:before="120" w:after="120" w:line="240" w:lineRule="auto"/>
        <w:rPr>
          <w:i/>
          <w:iCs/>
        </w:rPr>
      </w:pPr>
      <w:r w:rsidRPr="00DF6740">
        <w:rPr>
          <w:i/>
          <w:iCs/>
        </w:rPr>
        <w:t xml:space="preserve">„az üdülési jog ellenértéke </w:t>
      </w:r>
      <w:proofErr w:type="spellStart"/>
      <w:r w:rsidRPr="00DF6740">
        <w:rPr>
          <w:i/>
          <w:iCs/>
        </w:rPr>
        <w:t>forintosítható</w:t>
      </w:r>
      <w:proofErr w:type="spellEnd"/>
      <w:r w:rsidRPr="00DF6740">
        <w:rPr>
          <w:i/>
          <w:iCs/>
        </w:rPr>
        <w:t xml:space="preserve">, letéti számlán kerül jóváírásra, ahonnan kérheti majd annak kiutalását”. </w:t>
      </w:r>
    </w:p>
    <w:p w14:paraId="27772ACA" w14:textId="77777777" w:rsidR="006C0CB3" w:rsidRPr="00DF6740" w:rsidRDefault="006C0CB3" w:rsidP="00BE4D21">
      <w:pPr>
        <w:pStyle w:val="Listaszerbekezds"/>
        <w:numPr>
          <w:ilvl w:val="0"/>
          <w:numId w:val="7"/>
        </w:numPr>
        <w:spacing w:before="120" w:after="120" w:line="240" w:lineRule="auto"/>
      </w:pPr>
      <w:r w:rsidRPr="00DF6740">
        <w:t xml:space="preserve">Amennyiben az üdülési jog értékesítésével összefüggésben </w:t>
      </w:r>
      <w:r w:rsidRPr="00BE4D21">
        <w:rPr>
          <w:b/>
          <w:bCs/>
        </w:rPr>
        <w:t>kreditrendszer</w:t>
      </w:r>
      <w:r w:rsidRPr="00DF6740">
        <w:t xml:space="preserve">be történő beléptetésről vagy más egyéb összetett konstrukcióról beszélnek, úgy feltétlenül ismerje meg annak működését, költségeit, és az ezzel járó </w:t>
      </w:r>
      <w:proofErr w:type="spellStart"/>
      <w:r w:rsidRPr="00DF6740">
        <w:t>terheket</w:t>
      </w:r>
      <w:proofErr w:type="spellEnd"/>
      <w:r w:rsidRPr="00DF6740">
        <w:t xml:space="preserve">, veszélyeket! </w:t>
      </w:r>
    </w:p>
    <w:p w14:paraId="582DA997" w14:textId="315C56E9" w:rsidR="00087D75" w:rsidRDefault="006C0CB3" w:rsidP="00BE4D21">
      <w:pPr>
        <w:pStyle w:val="Listaszerbekezds"/>
        <w:numPr>
          <w:ilvl w:val="0"/>
          <w:numId w:val="7"/>
        </w:numPr>
        <w:spacing w:before="120" w:after="120" w:line="240" w:lineRule="auto"/>
      </w:pPr>
      <w:r w:rsidRPr="00DF6740">
        <w:t xml:space="preserve">Az üdülési jog tényleges értékesítését megelőzően – </w:t>
      </w:r>
      <w:r w:rsidRPr="00BE4D21">
        <w:rPr>
          <w:b/>
          <w:bCs/>
        </w:rPr>
        <w:t>a szerződés aláírásakor – soha ne fizessen</w:t>
      </w:r>
      <w:r w:rsidRPr="00DF6740">
        <w:t xml:space="preserve"> semmilyen jogcímen (ügyvédi munkadíj, rendszerhasználati díj, számlavezetési díj stb.) a segítséget ajánló vállalkozásnak, képviselőjének sem készpénzben, sem bankkártyával vagy akár utalás formájában!</w:t>
      </w:r>
    </w:p>
    <w:p w14:paraId="5E362F61" w14:textId="5555A873" w:rsidR="006719A9" w:rsidRPr="00FF0C7E" w:rsidRDefault="0093130A" w:rsidP="00077455">
      <w:pPr>
        <w:spacing w:after="80"/>
        <w:ind w:left="-340" w:right="-340"/>
        <w:rPr>
          <w:bCs/>
        </w:rPr>
      </w:pPr>
      <w:r>
        <w:t>A Gazdasági Versenyhivatal</w:t>
      </w:r>
      <w:r w:rsidR="00806F7C">
        <w:t xml:space="preserve"> a</w:t>
      </w:r>
      <w:r>
        <w:t xml:space="preserve"> </w:t>
      </w:r>
      <w:hyperlink r:id="rId9" w:history="1">
        <w:r w:rsidRPr="00A220D0">
          <w:rPr>
            <w:rStyle w:val="Hiperhivatkozs"/>
          </w:rPr>
          <w:t>2023-as tevékenységét ismertető beszámolójában javaslatot</w:t>
        </w:r>
        <w:r w:rsidR="00435148">
          <w:rPr>
            <w:rStyle w:val="Hiperhivatkozs"/>
          </w:rPr>
          <w:t xml:space="preserve"> </w:t>
        </w:r>
        <w:r w:rsidRPr="00A220D0">
          <w:rPr>
            <w:rStyle w:val="Hiperhivatkozs"/>
          </w:rPr>
          <w:t>tett</w:t>
        </w:r>
      </w:hyperlink>
      <w:r>
        <w:t xml:space="preserve"> az üdülési jogok esetében a fogyasztói jogérvényesítés megerősítésére. </w:t>
      </w:r>
      <w:r w:rsidR="006719A9">
        <w:t xml:space="preserve">A GVH </w:t>
      </w:r>
      <w:r w:rsidR="00F23E7F">
        <w:t xml:space="preserve">a </w:t>
      </w:r>
      <w:r w:rsidR="006719A9">
        <w:t>2024</w:t>
      </w:r>
      <w:r w:rsidR="00F23E7F">
        <w:t>. évben</w:t>
      </w:r>
      <w:r w:rsidR="006719A9">
        <w:t xml:space="preserve"> több </w:t>
      </w:r>
      <w:r>
        <w:t>egyeztetést</w:t>
      </w:r>
      <w:r w:rsidR="006719A9">
        <w:t xml:space="preserve"> is tartott az érintett hatóságokkal</w:t>
      </w:r>
      <w:r>
        <w:t xml:space="preserve"> (a fogyasztóvédelemért felelős </w:t>
      </w:r>
      <w:r w:rsidRPr="0003349F">
        <w:rPr>
          <w:b/>
          <w:bCs/>
        </w:rPr>
        <w:t>Igazságügyi Minisztériummal</w:t>
      </w:r>
      <w:r>
        <w:t>,</w:t>
      </w:r>
      <w:r w:rsidR="00DD5554">
        <w:t xml:space="preserve"> 2024. augusztus 1-től a </w:t>
      </w:r>
      <w:r w:rsidR="00DD5554" w:rsidRPr="00C128AE">
        <w:rPr>
          <w:b/>
          <w:bCs/>
        </w:rPr>
        <w:t>Nemzetgazdasági Minisztériummal</w:t>
      </w:r>
      <w:r w:rsidR="00DD5554">
        <w:t>,</w:t>
      </w:r>
      <w:r>
        <w:t xml:space="preserve"> </w:t>
      </w:r>
      <w:r w:rsidR="0003349F">
        <w:t xml:space="preserve">az </w:t>
      </w:r>
      <w:r w:rsidR="0003349F" w:rsidRPr="0003349F">
        <w:rPr>
          <w:b/>
          <w:bCs/>
        </w:rPr>
        <w:t>Országos Rendőr-főkap</w:t>
      </w:r>
      <w:r w:rsidR="0003349F">
        <w:rPr>
          <w:b/>
          <w:bCs/>
        </w:rPr>
        <w:t>i</w:t>
      </w:r>
      <w:r w:rsidR="0003349F" w:rsidRPr="0003349F">
        <w:rPr>
          <w:b/>
          <w:bCs/>
        </w:rPr>
        <w:t>tánysággal</w:t>
      </w:r>
      <w:r>
        <w:t>, és civil szervezetekkel)</w:t>
      </w:r>
      <w:r w:rsidR="00806F7C">
        <w:t>, melyek célja a</w:t>
      </w:r>
      <w:r>
        <w:t xml:space="preserve"> konkrét javaslat</w:t>
      </w:r>
      <w:r w:rsidR="0003349F">
        <w:t>ok</w:t>
      </w:r>
      <w:r>
        <w:t xml:space="preserve"> kidolgozása</w:t>
      </w:r>
      <w:r w:rsidR="006719A9">
        <w:t xml:space="preserve"> </w:t>
      </w:r>
      <w:r w:rsidR="00806F7C">
        <w:t xml:space="preserve">volt </w:t>
      </w:r>
      <w:r w:rsidR="006719A9">
        <w:t xml:space="preserve">a </w:t>
      </w:r>
      <w:hyperlink r:id="rId10" w:history="1">
        <w:r w:rsidR="006719A9" w:rsidRPr="00806F7C">
          <w:rPr>
            <w:rStyle w:val="Hiperhivatkozs"/>
          </w:rPr>
          <w:t>probléma hosszútávú és végleges kezelése érdekében</w:t>
        </w:r>
      </w:hyperlink>
      <w:r w:rsidR="00806F7C">
        <w:t xml:space="preserve">. </w:t>
      </w:r>
      <w:r w:rsidR="006719A9">
        <w:t xml:space="preserve"> </w:t>
      </w:r>
    </w:p>
    <w:bookmarkEnd w:id="1"/>
    <w:p w14:paraId="774C3F0E" w14:textId="77777777" w:rsidR="001C09D7" w:rsidRDefault="00A220D0" w:rsidP="001C09D7">
      <w:pPr>
        <w:spacing w:after="80"/>
        <w:ind w:left="-340" w:right="-340"/>
      </w:pPr>
      <w:r>
        <w:t xml:space="preserve">Az érintett hatóságok javasolták </w:t>
      </w:r>
      <w:r w:rsidR="00806F7C">
        <w:t xml:space="preserve">s jogalkotónak </w:t>
      </w:r>
      <w:r>
        <w:t xml:space="preserve">többek között a </w:t>
      </w:r>
      <w:r w:rsidRPr="00A220D0">
        <w:rPr>
          <w:i/>
          <w:iCs/>
        </w:rPr>
        <w:t>fogyasztók megtévesztése</w:t>
      </w:r>
      <w:r>
        <w:t xml:space="preserve"> büntetőjogi tényállásának szigorítását, mivel azt jelenleg sok esetben </w:t>
      </w:r>
      <w:r w:rsidR="003A4A5F">
        <w:t>nehézkes</w:t>
      </w:r>
      <w:r>
        <w:t xml:space="preserve"> alkalmazni </w:t>
      </w:r>
      <w:r w:rsidR="00806F7C">
        <w:t xml:space="preserve">az </w:t>
      </w:r>
      <w:r>
        <w:t>átverések</w:t>
      </w:r>
      <w:r w:rsidR="003A4A5F">
        <w:t xml:space="preserve"> szankcionálására</w:t>
      </w:r>
      <w:r>
        <w:t>. Javasolták tovább</w:t>
      </w:r>
      <w:r w:rsidR="0003349F">
        <w:t>á</w:t>
      </w:r>
      <w:r>
        <w:t xml:space="preserve"> az üdülési jogok másodlagos értékesítésének előzetes közjogi jóváhagyáshoz kötését, illetve az értékesítéshez közvetlenül nem kapcsolódó járulékos szerződések megkötésének tiltását</w:t>
      </w:r>
      <w:r w:rsidR="007C72D4">
        <w:t xml:space="preserve"> is</w:t>
      </w:r>
      <w:r>
        <w:t xml:space="preserve">. </w:t>
      </w:r>
    </w:p>
    <w:p w14:paraId="107D3913" w14:textId="44EF0905" w:rsidR="00435148" w:rsidRDefault="001C09D7" w:rsidP="001C09D7">
      <w:pPr>
        <w:spacing w:after="80"/>
        <w:ind w:left="-340" w:right="-340"/>
      </w:pPr>
      <w:r w:rsidRPr="00B114D9">
        <w:t>További hasznos információkat olvashatnak az üdülési jogokkal kapcsolatba</w:t>
      </w:r>
      <w:r w:rsidR="00B114D9" w:rsidRPr="00B114D9">
        <w:t xml:space="preserve">n a </w:t>
      </w:r>
      <w:r w:rsidRPr="00B114D9">
        <w:t xml:space="preserve">GVH </w:t>
      </w:r>
      <w:hyperlink r:id="rId11" w:history="1">
        <w:r w:rsidRPr="00B114D9">
          <w:rPr>
            <w:rStyle w:val="Hiperhivatkozs"/>
          </w:rPr>
          <w:t>tájékoztató kisfilmjében</w:t>
        </w:r>
      </w:hyperlink>
      <w:r w:rsidRPr="00B114D9">
        <w:t xml:space="preserve"> és a honlapjának </w:t>
      </w:r>
      <w:hyperlink r:id="rId12" w:history="1">
        <w:r w:rsidRPr="00B114D9">
          <w:rPr>
            <w:rStyle w:val="Hiperhivatkozs"/>
          </w:rPr>
          <w:t>Gondolja Végig Higgadtan</w:t>
        </w:r>
      </w:hyperlink>
      <w:r w:rsidRPr="00B114D9">
        <w:t xml:space="preserve"> menüpontja alatt.</w:t>
      </w:r>
    </w:p>
    <w:p w14:paraId="54EA6B02" w14:textId="77777777" w:rsidR="001C09D7" w:rsidRPr="001C09D7" w:rsidRDefault="001C09D7" w:rsidP="001C09D7">
      <w:pPr>
        <w:spacing w:after="80"/>
        <w:ind w:left="-340" w:right="-340"/>
      </w:pPr>
    </w:p>
    <w:p w14:paraId="1A384D8A" w14:textId="14E329B7" w:rsidR="00B114D9" w:rsidRDefault="00B114D9" w:rsidP="00B114D9">
      <w:pPr>
        <w:spacing w:after="0"/>
        <w:ind w:left="-340" w:right="-340"/>
        <w:rPr>
          <w:b/>
          <w:bCs/>
        </w:rPr>
      </w:pPr>
      <w:r w:rsidRPr="00B114D9">
        <w:rPr>
          <w:b/>
          <w:bCs/>
        </w:rPr>
        <w:t>GVH Kommunikáció</w:t>
      </w:r>
    </w:p>
    <w:p w14:paraId="2074D760" w14:textId="77777777" w:rsidR="00B114D9" w:rsidRPr="00B114D9" w:rsidRDefault="00B114D9" w:rsidP="00B114D9">
      <w:pPr>
        <w:spacing w:after="0"/>
        <w:ind w:left="-340" w:right="-340"/>
        <w:rPr>
          <w:b/>
          <w:bCs/>
        </w:rPr>
      </w:pPr>
    </w:p>
    <w:p w14:paraId="4D4523B3" w14:textId="7282AD1E" w:rsidR="00361831" w:rsidRPr="00A56022" w:rsidRDefault="00361831" w:rsidP="00077455">
      <w:pPr>
        <w:spacing w:after="0"/>
        <w:ind w:left="-340" w:right="-340"/>
      </w:pPr>
      <w:r w:rsidRPr="00A56022">
        <w:t>További információ:</w:t>
      </w:r>
    </w:p>
    <w:p w14:paraId="707774B9" w14:textId="77777777" w:rsidR="00361831" w:rsidRPr="00A56022" w:rsidRDefault="00361831" w:rsidP="00077455">
      <w:pPr>
        <w:spacing w:after="0"/>
        <w:ind w:left="-340" w:right="-340"/>
      </w:pPr>
      <w:r w:rsidRPr="00A56022">
        <w:t>Horváth Bálint, kommunikációs vezető +36 20 238 6939</w:t>
      </w:r>
    </w:p>
    <w:p w14:paraId="4198A9CE" w14:textId="27A8F069" w:rsidR="002A426E" w:rsidRDefault="00361831" w:rsidP="00077455">
      <w:pPr>
        <w:spacing w:after="0"/>
        <w:ind w:left="-340" w:right="-340"/>
      </w:pPr>
      <w:r w:rsidRPr="00A56022">
        <w:t>Gondolovics Katalin, sajtószóvivő +36 30 603 1170</w:t>
      </w:r>
    </w:p>
    <w:p w14:paraId="171BBC05" w14:textId="1E08D76C" w:rsidR="009D3140" w:rsidRDefault="009D3140" w:rsidP="00077455">
      <w:pPr>
        <w:spacing w:after="0"/>
        <w:ind w:left="-340" w:right="-340"/>
      </w:pPr>
    </w:p>
    <w:p w14:paraId="543D0846" w14:textId="77777777" w:rsidR="009D3140" w:rsidRPr="00A56022" w:rsidRDefault="009D3140" w:rsidP="00077455">
      <w:pPr>
        <w:spacing w:after="0"/>
        <w:ind w:left="-340" w:right="-340"/>
      </w:pPr>
    </w:p>
    <w:sectPr w:rsidR="009D3140" w:rsidRPr="00A56022" w:rsidSect="00077455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AE6F9" w14:textId="77777777" w:rsidR="00041391" w:rsidRDefault="00041391">
      <w:pPr>
        <w:spacing w:after="0" w:line="240" w:lineRule="auto"/>
      </w:pPr>
      <w:r>
        <w:separator/>
      </w:r>
    </w:p>
  </w:endnote>
  <w:endnote w:type="continuationSeparator" w:id="0">
    <w:p w14:paraId="2FD1F033" w14:textId="77777777" w:rsidR="00041391" w:rsidRDefault="0004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1437A3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1437A3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83E6B" w14:textId="77777777" w:rsidR="00041391" w:rsidRDefault="00041391">
      <w:pPr>
        <w:spacing w:after="0" w:line="240" w:lineRule="auto"/>
      </w:pPr>
      <w:r>
        <w:separator/>
      </w:r>
    </w:p>
  </w:footnote>
  <w:footnote w:type="continuationSeparator" w:id="0">
    <w:p w14:paraId="528115B3" w14:textId="77777777" w:rsidR="00041391" w:rsidRDefault="0004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1437A3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7B1B"/>
    <w:multiLevelType w:val="hybridMultilevel"/>
    <w:tmpl w:val="C924E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33F"/>
    <w:multiLevelType w:val="hybridMultilevel"/>
    <w:tmpl w:val="2E24763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75AAC"/>
    <w:multiLevelType w:val="hybridMultilevel"/>
    <w:tmpl w:val="E938A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318C"/>
    <w:multiLevelType w:val="hybridMultilevel"/>
    <w:tmpl w:val="D9E021D6"/>
    <w:lvl w:ilvl="0" w:tplc="D8E8DB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27E4E"/>
    <w:multiLevelType w:val="hybridMultilevel"/>
    <w:tmpl w:val="820A269E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D64410"/>
    <w:multiLevelType w:val="hybridMultilevel"/>
    <w:tmpl w:val="4B6E2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5AE5"/>
    <w:multiLevelType w:val="hybridMultilevel"/>
    <w:tmpl w:val="8BE44972"/>
    <w:lvl w:ilvl="0" w:tplc="040E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799715220">
    <w:abstractNumId w:val="6"/>
  </w:num>
  <w:num w:numId="2" w16cid:durableId="1939829911">
    <w:abstractNumId w:val="5"/>
  </w:num>
  <w:num w:numId="3" w16cid:durableId="577404638">
    <w:abstractNumId w:val="3"/>
  </w:num>
  <w:num w:numId="4" w16cid:durableId="1307121204">
    <w:abstractNumId w:val="4"/>
  </w:num>
  <w:num w:numId="5" w16cid:durableId="117838645">
    <w:abstractNumId w:val="1"/>
  </w:num>
  <w:num w:numId="6" w16cid:durableId="1684549521">
    <w:abstractNumId w:val="0"/>
  </w:num>
  <w:num w:numId="7" w16cid:durableId="104591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31D9F"/>
    <w:rsid w:val="0003349F"/>
    <w:rsid w:val="00041391"/>
    <w:rsid w:val="00055453"/>
    <w:rsid w:val="00057D8B"/>
    <w:rsid w:val="0006589E"/>
    <w:rsid w:val="00066E95"/>
    <w:rsid w:val="00077455"/>
    <w:rsid w:val="0008081F"/>
    <w:rsid w:val="00087D75"/>
    <w:rsid w:val="0009552C"/>
    <w:rsid w:val="00097BBB"/>
    <w:rsid w:val="000E32D6"/>
    <w:rsid w:val="000F4A7F"/>
    <w:rsid w:val="001215EE"/>
    <w:rsid w:val="001235C9"/>
    <w:rsid w:val="001371A0"/>
    <w:rsid w:val="001407FC"/>
    <w:rsid w:val="001431B4"/>
    <w:rsid w:val="001437A3"/>
    <w:rsid w:val="00170187"/>
    <w:rsid w:val="00171CCD"/>
    <w:rsid w:val="00197FE4"/>
    <w:rsid w:val="001B65F1"/>
    <w:rsid w:val="001C09D7"/>
    <w:rsid w:val="001E5590"/>
    <w:rsid w:val="001E657E"/>
    <w:rsid w:val="001E7918"/>
    <w:rsid w:val="00202D48"/>
    <w:rsid w:val="00206DF4"/>
    <w:rsid w:val="00214EB3"/>
    <w:rsid w:val="002422DC"/>
    <w:rsid w:val="002574F3"/>
    <w:rsid w:val="00281C54"/>
    <w:rsid w:val="00292912"/>
    <w:rsid w:val="002A0E05"/>
    <w:rsid w:val="002A426E"/>
    <w:rsid w:val="002C5834"/>
    <w:rsid w:val="002C7015"/>
    <w:rsid w:val="002D4D8A"/>
    <w:rsid w:val="002D7A9E"/>
    <w:rsid w:val="002F39AB"/>
    <w:rsid w:val="00321D1A"/>
    <w:rsid w:val="00331DA9"/>
    <w:rsid w:val="00361831"/>
    <w:rsid w:val="003A4A5F"/>
    <w:rsid w:val="003B24D9"/>
    <w:rsid w:val="003C51E4"/>
    <w:rsid w:val="003C61A3"/>
    <w:rsid w:val="003E675C"/>
    <w:rsid w:val="003F10DE"/>
    <w:rsid w:val="003F5571"/>
    <w:rsid w:val="00412C12"/>
    <w:rsid w:val="00412FC3"/>
    <w:rsid w:val="004132D3"/>
    <w:rsid w:val="0041642F"/>
    <w:rsid w:val="0041670B"/>
    <w:rsid w:val="00424B8A"/>
    <w:rsid w:val="00426898"/>
    <w:rsid w:val="00430D05"/>
    <w:rsid w:val="00435148"/>
    <w:rsid w:val="00436541"/>
    <w:rsid w:val="00437AB0"/>
    <w:rsid w:val="004413B5"/>
    <w:rsid w:val="00456D78"/>
    <w:rsid w:val="00463C33"/>
    <w:rsid w:val="004773D3"/>
    <w:rsid w:val="00491BFC"/>
    <w:rsid w:val="00492634"/>
    <w:rsid w:val="004B3DBB"/>
    <w:rsid w:val="004C64BF"/>
    <w:rsid w:val="004D4382"/>
    <w:rsid w:val="005159F2"/>
    <w:rsid w:val="00536BE9"/>
    <w:rsid w:val="00536F48"/>
    <w:rsid w:val="00545903"/>
    <w:rsid w:val="00551F00"/>
    <w:rsid w:val="0055648D"/>
    <w:rsid w:val="005566B7"/>
    <w:rsid w:val="0056361B"/>
    <w:rsid w:val="005A3252"/>
    <w:rsid w:val="005A384B"/>
    <w:rsid w:val="005A4856"/>
    <w:rsid w:val="005B25E8"/>
    <w:rsid w:val="005B31C0"/>
    <w:rsid w:val="005E13E7"/>
    <w:rsid w:val="005E7373"/>
    <w:rsid w:val="00626E97"/>
    <w:rsid w:val="006368CF"/>
    <w:rsid w:val="00641E9E"/>
    <w:rsid w:val="00662D35"/>
    <w:rsid w:val="006719A9"/>
    <w:rsid w:val="00675F74"/>
    <w:rsid w:val="00690A8A"/>
    <w:rsid w:val="006B3681"/>
    <w:rsid w:val="006B4B0A"/>
    <w:rsid w:val="006B5E56"/>
    <w:rsid w:val="006C0CB3"/>
    <w:rsid w:val="006E284A"/>
    <w:rsid w:val="006F4B6A"/>
    <w:rsid w:val="006F5EA0"/>
    <w:rsid w:val="0072038E"/>
    <w:rsid w:val="00721117"/>
    <w:rsid w:val="00721F53"/>
    <w:rsid w:val="007329A8"/>
    <w:rsid w:val="00736F52"/>
    <w:rsid w:val="00752618"/>
    <w:rsid w:val="00776520"/>
    <w:rsid w:val="00781F02"/>
    <w:rsid w:val="00797736"/>
    <w:rsid w:val="00797874"/>
    <w:rsid w:val="007B4BA9"/>
    <w:rsid w:val="007C437E"/>
    <w:rsid w:val="007C6DFA"/>
    <w:rsid w:val="007C72D4"/>
    <w:rsid w:val="00806F7C"/>
    <w:rsid w:val="00811EE1"/>
    <w:rsid w:val="00825A2A"/>
    <w:rsid w:val="008302EE"/>
    <w:rsid w:val="00835934"/>
    <w:rsid w:val="00836414"/>
    <w:rsid w:val="008463C0"/>
    <w:rsid w:val="00854CE3"/>
    <w:rsid w:val="008927DB"/>
    <w:rsid w:val="008A3871"/>
    <w:rsid w:val="008C44CC"/>
    <w:rsid w:val="008F64F0"/>
    <w:rsid w:val="008F6B4C"/>
    <w:rsid w:val="00904062"/>
    <w:rsid w:val="00905BBD"/>
    <w:rsid w:val="009217CC"/>
    <w:rsid w:val="009306B9"/>
    <w:rsid w:val="0093130A"/>
    <w:rsid w:val="00933AD1"/>
    <w:rsid w:val="00940AAC"/>
    <w:rsid w:val="0094208B"/>
    <w:rsid w:val="009B5EB1"/>
    <w:rsid w:val="009B7AB2"/>
    <w:rsid w:val="009C2511"/>
    <w:rsid w:val="009D3140"/>
    <w:rsid w:val="009E3C1A"/>
    <w:rsid w:val="009F2A4D"/>
    <w:rsid w:val="00A03A7E"/>
    <w:rsid w:val="00A0694E"/>
    <w:rsid w:val="00A220D0"/>
    <w:rsid w:val="00A444F7"/>
    <w:rsid w:val="00A5193E"/>
    <w:rsid w:val="00A56022"/>
    <w:rsid w:val="00A577FC"/>
    <w:rsid w:val="00A715B2"/>
    <w:rsid w:val="00A83FA6"/>
    <w:rsid w:val="00A87089"/>
    <w:rsid w:val="00A87DC9"/>
    <w:rsid w:val="00A87FE1"/>
    <w:rsid w:val="00A915F2"/>
    <w:rsid w:val="00A96997"/>
    <w:rsid w:val="00A96E66"/>
    <w:rsid w:val="00AB51C5"/>
    <w:rsid w:val="00AD020C"/>
    <w:rsid w:val="00AF40DB"/>
    <w:rsid w:val="00B114D9"/>
    <w:rsid w:val="00B3095B"/>
    <w:rsid w:val="00B32C14"/>
    <w:rsid w:val="00B36E43"/>
    <w:rsid w:val="00B44630"/>
    <w:rsid w:val="00B6413F"/>
    <w:rsid w:val="00B814DA"/>
    <w:rsid w:val="00B8194D"/>
    <w:rsid w:val="00B85494"/>
    <w:rsid w:val="00BC3DFB"/>
    <w:rsid w:val="00BC4099"/>
    <w:rsid w:val="00BD3A16"/>
    <w:rsid w:val="00BD45B0"/>
    <w:rsid w:val="00BE4D21"/>
    <w:rsid w:val="00C128AE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CF78AF"/>
    <w:rsid w:val="00D213C7"/>
    <w:rsid w:val="00D31443"/>
    <w:rsid w:val="00D56985"/>
    <w:rsid w:val="00D74AF1"/>
    <w:rsid w:val="00D83EED"/>
    <w:rsid w:val="00D951B5"/>
    <w:rsid w:val="00DA2132"/>
    <w:rsid w:val="00DB780D"/>
    <w:rsid w:val="00DC4CE5"/>
    <w:rsid w:val="00DD0C2E"/>
    <w:rsid w:val="00DD5554"/>
    <w:rsid w:val="00DE66B4"/>
    <w:rsid w:val="00DF1B75"/>
    <w:rsid w:val="00DF35CB"/>
    <w:rsid w:val="00E01CA3"/>
    <w:rsid w:val="00E10913"/>
    <w:rsid w:val="00E33ACD"/>
    <w:rsid w:val="00E34509"/>
    <w:rsid w:val="00E45607"/>
    <w:rsid w:val="00E665BD"/>
    <w:rsid w:val="00E84531"/>
    <w:rsid w:val="00EC4637"/>
    <w:rsid w:val="00ED43FF"/>
    <w:rsid w:val="00EE0B58"/>
    <w:rsid w:val="00EF0D28"/>
    <w:rsid w:val="00F13997"/>
    <w:rsid w:val="00F22CD6"/>
    <w:rsid w:val="00F23E7F"/>
    <w:rsid w:val="00F261FE"/>
    <w:rsid w:val="00F51633"/>
    <w:rsid w:val="00F56057"/>
    <w:rsid w:val="00F94A74"/>
    <w:rsid w:val="00FA7B49"/>
    <w:rsid w:val="00FB19CA"/>
    <w:rsid w:val="00FD1E1C"/>
    <w:rsid w:val="00FE2939"/>
    <w:rsid w:val="00FE7397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7C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2D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2D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4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1-es-sajtokozlemenyek/ne-doljon-be-az-udulesi-jogos-csalokna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fogyasztoknak/gondolja_vegig_higgadtan/7433_hu_gondolja_vegig_higgadta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hfL0-cHA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4-es-sajtokozlemenyek/vegleg-le-kell-szamolni-az-udulesi-jogos-megtevesztesekkel--huzta-ala-rigo-csaba-balazs-a-gvh-elnoke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z-orszaggyules-elfogadta-a-gazdasagi-versenyhivatal-2023-as-beszamoloj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2025-03-20T07:44:00Z</dcterms:created>
  <dcterms:modified xsi:type="dcterms:W3CDTF">2025-03-20T07:44:00Z</dcterms:modified>
</cp:coreProperties>
</file>