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3477" w14:textId="2B205D33" w:rsidR="0041670B" w:rsidRDefault="00407111" w:rsidP="00675F74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Újabb</w:t>
      </w:r>
      <w:r w:rsidR="00786EEF">
        <w:rPr>
          <w:b/>
          <w:sz w:val="28"/>
          <w:szCs w:val="28"/>
        </w:rPr>
        <w:t xml:space="preserve"> nagy </w:t>
      </w:r>
      <w:r>
        <w:rPr>
          <w:b/>
          <w:sz w:val="28"/>
          <w:szCs w:val="28"/>
        </w:rPr>
        <w:t>web</w:t>
      </w:r>
      <w:r w:rsidR="000F0082">
        <w:rPr>
          <w:b/>
          <w:sz w:val="28"/>
          <w:szCs w:val="28"/>
        </w:rPr>
        <w:t>áruházat</w:t>
      </w:r>
      <w:r>
        <w:rPr>
          <w:b/>
          <w:sz w:val="28"/>
          <w:szCs w:val="28"/>
        </w:rPr>
        <w:t xml:space="preserve"> vizsgál a GVH</w:t>
      </w:r>
    </w:p>
    <w:p w14:paraId="64450E70" w14:textId="62D109DD" w:rsidR="0056361B" w:rsidRDefault="00361831" w:rsidP="00675F74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407111">
        <w:rPr>
          <w:b/>
        </w:rPr>
        <w:t>5. február</w:t>
      </w:r>
      <w:r w:rsidR="00786EEF">
        <w:rPr>
          <w:b/>
        </w:rPr>
        <w:t xml:space="preserve"> 11.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4413B5" w:rsidRPr="00412C12">
        <w:rPr>
          <w:rStyle w:val="Kiemels2"/>
          <w:rFonts w:eastAsiaTheme="majorEastAsia"/>
          <w:bCs w:val="0"/>
        </w:rPr>
        <w:t xml:space="preserve">A Gazdasági Versenyhivatal (GVH) vizsgálatot indított </w:t>
      </w:r>
      <w:r w:rsidR="009F2A4D">
        <w:rPr>
          <w:rStyle w:val="Kiemels2"/>
          <w:rFonts w:eastAsiaTheme="majorEastAsia"/>
          <w:bCs w:val="0"/>
        </w:rPr>
        <w:t>a</w:t>
      </w:r>
      <w:r w:rsidR="00786EEF">
        <w:rPr>
          <w:rStyle w:val="Kiemels2"/>
          <w:rFonts w:eastAsiaTheme="majorEastAsia"/>
          <w:bCs w:val="0"/>
        </w:rPr>
        <w:t xml:space="preserve"> lengyel</w:t>
      </w:r>
      <w:r w:rsidR="00407111">
        <w:rPr>
          <w:rStyle w:val="Kiemels2"/>
          <w:rFonts w:eastAsiaTheme="majorEastAsia"/>
          <w:bCs w:val="0"/>
        </w:rPr>
        <w:t xml:space="preserve"> Allegro </w:t>
      </w:r>
      <w:r w:rsidR="00A05CBB">
        <w:rPr>
          <w:rStyle w:val="Kiemels2"/>
          <w:rFonts w:eastAsiaTheme="majorEastAsia"/>
          <w:bCs w:val="0"/>
        </w:rPr>
        <w:t>online kereskedelmi platform</w:t>
      </w:r>
      <w:r w:rsidR="00333B6A">
        <w:rPr>
          <w:rStyle w:val="Kiemels2"/>
          <w:rFonts w:eastAsiaTheme="majorEastAsia"/>
          <w:bCs w:val="0"/>
        </w:rPr>
        <w:t xml:space="preserve"> üzemeltetőjével</w:t>
      </w:r>
      <w:r w:rsidR="00A05CBB">
        <w:rPr>
          <w:rStyle w:val="Kiemels2"/>
          <w:rFonts w:eastAsiaTheme="majorEastAsia"/>
          <w:bCs w:val="0"/>
        </w:rPr>
        <w:t xml:space="preserve"> szemben. </w:t>
      </w:r>
      <w:r w:rsidR="00BC3DFB">
        <w:rPr>
          <w:rStyle w:val="Kiemels2"/>
          <w:rFonts w:eastAsiaTheme="majorEastAsia"/>
          <w:bCs w:val="0"/>
        </w:rPr>
        <w:t>A</w:t>
      </w:r>
      <w:r w:rsidR="0056361B" w:rsidRPr="0056361B">
        <w:rPr>
          <w:rStyle w:val="Kiemels2"/>
          <w:rFonts w:eastAsiaTheme="majorEastAsia"/>
          <w:bCs w:val="0"/>
        </w:rPr>
        <w:t xml:space="preserve"> </w:t>
      </w:r>
      <w:r w:rsidR="00726B4B">
        <w:rPr>
          <w:rStyle w:val="Kiemels2"/>
          <w:rFonts w:eastAsiaTheme="majorEastAsia"/>
          <w:bCs w:val="0"/>
        </w:rPr>
        <w:t xml:space="preserve">GVH gyanúja szerint a </w:t>
      </w:r>
      <w:r w:rsidR="0056361B" w:rsidRPr="0056361B">
        <w:rPr>
          <w:rStyle w:val="Kiemels2"/>
          <w:rFonts w:eastAsiaTheme="majorEastAsia"/>
          <w:bCs w:val="0"/>
        </w:rPr>
        <w:t xml:space="preserve">cég a honlapján és a mobilapplikációjában </w:t>
      </w:r>
      <w:r w:rsidR="009405DE" w:rsidRPr="009405DE">
        <w:rPr>
          <w:b/>
          <w:szCs w:val="20"/>
        </w:rPr>
        <w:t>„</w:t>
      </w:r>
      <w:r w:rsidR="009405DE" w:rsidRPr="009405DE">
        <w:rPr>
          <w:b/>
          <w:i/>
          <w:iCs/>
        </w:rPr>
        <w:t>Legalacsonyabb ár garancia</w:t>
      </w:r>
      <w:r w:rsidR="009405DE" w:rsidRPr="009405DE">
        <w:rPr>
          <w:b/>
        </w:rPr>
        <w:t>” szlogennel hirdetett kampányai során</w:t>
      </w:r>
      <w:r w:rsidR="009405DE">
        <w:rPr>
          <w:bCs/>
        </w:rPr>
        <w:t xml:space="preserve"> </w:t>
      </w:r>
      <w:r w:rsidR="0056361B" w:rsidRPr="0056361B">
        <w:rPr>
          <w:rStyle w:val="Kiemels2"/>
          <w:rFonts w:eastAsiaTheme="majorEastAsia"/>
          <w:bCs w:val="0"/>
        </w:rPr>
        <w:t xml:space="preserve">feltehetően </w:t>
      </w:r>
      <w:r w:rsidR="001A2699">
        <w:rPr>
          <w:rStyle w:val="Kiemels2"/>
          <w:rFonts w:eastAsiaTheme="majorEastAsia"/>
          <w:bCs w:val="0"/>
        </w:rPr>
        <w:t>megtévesztette a fogyasztókat.</w:t>
      </w:r>
    </w:p>
    <w:p w14:paraId="580F41D5" w14:textId="198EC47F" w:rsidR="00786EEF" w:rsidRDefault="00D213C7" w:rsidP="00260E88">
      <w:pPr>
        <w:tabs>
          <w:tab w:val="left" w:pos="567"/>
        </w:tabs>
        <w:spacing w:after="80"/>
        <w:ind w:left="0"/>
      </w:pPr>
      <w:r w:rsidRPr="00A56022">
        <w:rPr>
          <w:bCs/>
        </w:rPr>
        <w:t>A G</w:t>
      </w:r>
      <w:r w:rsidR="00A577FC" w:rsidRPr="00A56022">
        <w:rPr>
          <w:bCs/>
        </w:rPr>
        <w:t>azdasági Versenyhivatal</w:t>
      </w:r>
      <w:r w:rsidRPr="00A56022">
        <w:rPr>
          <w:bCs/>
        </w:rPr>
        <w:t xml:space="preserve"> </w:t>
      </w:r>
      <w:r w:rsidR="00786EEF">
        <w:rPr>
          <w:bCs/>
        </w:rPr>
        <w:t>gyanúja szerint</w:t>
      </w:r>
      <w:r w:rsidRPr="00A56022">
        <w:rPr>
          <w:bCs/>
        </w:rPr>
        <w:t xml:space="preserve">, </w:t>
      </w:r>
      <w:r w:rsidR="004B3DBB" w:rsidRPr="00A56022">
        <w:rPr>
          <w:bCs/>
        </w:rPr>
        <w:t xml:space="preserve">hogy </w:t>
      </w:r>
      <w:r w:rsidR="00DF35CB" w:rsidRPr="00A56022">
        <w:rPr>
          <w:bCs/>
        </w:rPr>
        <w:t>a</w:t>
      </w:r>
      <w:r w:rsidR="00786EEF">
        <w:rPr>
          <w:bCs/>
        </w:rPr>
        <w:t>z</w:t>
      </w:r>
      <w:r w:rsidR="00DF35CB" w:rsidRPr="00A56022">
        <w:rPr>
          <w:bCs/>
        </w:rPr>
        <w:t xml:space="preserve"> </w:t>
      </w:r>
      <w:bookmarkStart w:id="2" w:name="_Hlk185316519"/>
      <w:r w:rsidR="00A05CBB" w:rsidRPr="001A2699">
        <w:t xml:space="preserve">Allegro </w:t>
      </w:r>
      <w:proofErr w:type="spellStart"/>
      <w:r w:rsidR="00A05CBB" w:rsidRPr="001A2699">
        <w:t>sp</w:t>
      </w:r>
      <w:proofErr w:type="spellEnd"/>
      <w:r w:rsidR="00A05CBB" w:rsidRPr="001A2699">
        <w:t xml:space="preserve">. z </w:t>
      </w:r>
      <w:proofErr w:type="spellStart"/>
      <w:r w:rsidR="00A05CBB" w:rsidRPr="001A2699">
        <w:t>o.o</w:t>
      </w:r>
      <w:proofErr w:type="spellEnd"/>
      <w:r w:rsidR="00A05CBB" w:rsidRPr="001A2699">
        <w:t>.</w:t>
      </w:r>
      <w:bookmarkEnd w:id="2"/>
      <w:r w:rsidR="00786EEF">
        <w:t xml:space="preserve"> lengyelországi</w:t>
      </w:r>
      <w:r w:rsidR="00A05CBB">
        <w:rPr>
          <w:b/>
          <w:bCs/>
        </w:rPr>
        <w:t xml:space="preserve"> </w:t>
      </w:r>
      <w:r w:rsidR="005B25E8" w:rsidRPr="00A56022">
        <w:rPr>
          <w:bCs/>
        </w:rPr>
        <w:t>vállalkozás a weboldalán</w:t>
      </w:r>
      <w:r w:rsidR="00412C12">
        <w:rPr>
          <w:bCs/>
        </w:rPr>
        <w:t xml:space="preserve">, </w:t>
      </w:r>
      <w:r w:rsidR="00456D78">
        <w:rPr>
          <w:bCs/>
        </w:rPr>
        <w:t>valamint</w:t>
      </w:r>
      <w:r w:rsidR="005B25E8" w:rsidRPr="00A56022">
        <w:rPr>
          <w:bCs/>
        </w:rPr>
        <w:t xml:space="preserve"> </w:t>
      </w:r>
      <w:r w:rsidR="00A05CBB">
        <w:rPr>
          <w:bCs/>
        </w:rPr>
        <w:t>az Allegro</w:t>
      </w:r>
      <w:r w:rsidR="009306B9">
        <w:rPr>
          <w:bCs/>
        </w:rPr>
        <w:t xml:space="preserve"> </w:t>
      </w:r>
      <w:r w:rsidR="005B25E8" w:rsidRPr="00A56022">
        <w:rPr>
          <w:bCs/>
        </w:rPr>
        <w:t>mobil applikációjában</w:t>
      </w:r>
      <w:r w:rsidR="00260E88">
        <w:rPr>
          <w:bCs/>
        </w:rPr>
        <w:t xml:space="preserve"> valószínűsíthetően n</w:t>
      </w:r>
      <w:r w:rsidR="00260E88" w:rsidRPr="00BC2F47">
        <w:t>em nyújt megfelelő tájékoztatást az</w:t>
      </w:r>
      <w:r w:rsidR="000F0082">
        <w:t xml:space="preserve"> úgynevezett</w:t>
      </w:r>
      <w:r w:rsidR="00260E88" w:rsidRPr="00BC2F47">
        <w:t xml:space="preserve"> </w:t>
      </w:r>
      <w:r w:rsidR="000F0082">
        <w:t>„</w:t>
      </w:r>
      <w:proofErr w:type="spellStart"/>
      <w:r w:rsidR="00260E88" w:rsidRPr="00BC2F47">
        <w:t>árgarancia</w:t>
      </w:r>
      <w:proofErr w:type="spellEnd"/>
      <w:r w:rsidR="00260E88" w:rsidRPr="00BC2F47">
        <w:t xml:space="preserve"> rendszer</w:t>
      </w:r>
      <w:r w:rsidR="000F0082">
        <w:t>”</w:t>
      </w:r>
      <w:r w:rsidR="00260E88" w:rsidRPr="00BC2F47">
        <w:t xml:space="preserve"> feltételeiről</w:t>
      </w:r>
      <w:r w:rsidR="00786EEF">
        <w:t>.</w:t>
      </w:r>
    </w:p>
    <w:p w14:paraId="2C251D1E" w14:textId="21841C7E" w:rsidR="00260E88" w:rsidRPr="00260E88" w:rsidRDefault="00786EEF" w:rsidP="00260E88">
      <w:pPr>
        <w:tabs>
          <w:tab w:val="left" w:pos="567"/>
        </w:tabs>
        <w:spacing w:after="80"/>
        <w:ind w:left="0"/>
      </w:pPr>
      <w:r>
        <w:t>A GVH észlelte, hogy</w:t>
      </w:r>
      <w:r w:rsidR="00260E88" w:rsidRPr="00BC2F47">
        <w:t xml:space="preserve"> </w:t>
      </w:r>
      <w:r w:rsidR="00BA4EA9">
        <w:t xml:space="preserve">a </w:t>
      </w:r>
      <w:r>
        <w:t xml:space="preserve">vásárlók </w:t>
      </w:r>
      <w:r w:rsidR="00260E88" w:rsidRPr="00BC2F47">
        <w:t>a garancia érvényesíthetőségével kapcsolatos jelentős információkat (p</w:t>
      </w:r>
      <w:r w:rsidR="00726B4B">
        <w:t>l.</w:t>
      </w:r>
      <w:r w:rsidR="00260E88" w:rsidRPr="00BC2F47">
        <w:t xml:space="preserve"> </w:t>
      </w:r>
      <w:r w:rsidR="00726B4B">
        <w:t>összesen</w:t>
      </w:r>
      <w:r w:rsidR="00260E88" w:rsidRPr="00BC2F47">
        <w:t xml:space="preserve"> 20 webáruház esetében érvényesíthető a garancia, regisztrált és bejelentkezett felhasználóként kell vásárolni, valamint a kapott kupon csak bizonyos fizetési mód választása esetén használható fel)</w:t>
      </w:r>
      <w:r w:rsidR="00BA4EA9">
        <w:t xml:space="preserve"> csak többszöri kattintás, illetve hosszas legörgetés után ismerheti</w:t>
      </w:r>
      <w:r>
        <w:t>k</w:t>
      </w:r>
      <w:r w:rsidR="00BA4EA9">
        <w:t xml:space="preserve"> meg</w:t>
      </w:r>
      <w:r w:rsidR="00333B6A">
        <w:t>.</w:t>
      </w:r>
      <w:r w:rsidR="00260E88" w:rsidRPr="00BC2F47">
        <w:t xml:space="preserve"> </w:t>
      </w:r>
      <w:r w:rsidR="00260E88">
        <w:t>Ezen túlmenően</w:t>
      </w:r>
      <w:r w:rsidR="000F0082">
        <w:t xml:space="preserve"> </w:t>
      </w:r>
      <w:r>
        <w:t>webáruházat működtető</w:t>
      </w:r>
      <w:r w:rsidR="000F0082">
        <w:t xml:space="preserve"> cég vélhetően</w:t>
      </w:r>
      <w:r w:rsidR="00260E88">
        <w:t xml:space="preserve"> </w:t>
      </w:r>
      <w:r w:rsidR="00260E88" w:rsidRPr="009E5BDC">
        <w:rPr>
          <w:bCs/>
          <w:szCs w:val="20"/>
        </w:rPr>
        <w:t>nem a jóhiszeműség és tisztesség alapelvének megfelelő</w:t>
      </w:r>
      <w:r w:rsidR="000F0082">
        <w:rPr>
          <w:bCs/>
          <w:szCs w:val="20"/>
        </w:rPr>
        <w:t xml:space="preserve"> </w:t>
      </w:r>
      <w:r w:rsidR="00260E88" w:rsidRPr="009E5BDC">
        <w:rPr>
          <w:bCs/>
          <w:szCs w:val="20"/>
        </w:rPr>
        <w:t>gondossággal jár</w:t>
      </w:r>
      <w:r w:rsidR="00260E88">
        <w:rPr>
          <w:bCs/>
          <w:szCs w:val="20"/>
        </w:rPr>
        <w:t xml:space="preserve">t </w:t>
      </w:r>
      <w:r w:rsidR="00260E88" w:rsidRPr="009E5BDC">
        <w:rPr>
          <w:bCs/>
          <w:szCs w:val="20"/>
        </w:rPr>
        <w:t>el</w:t>
      </w:r>
      <w:r w:rsidR="00260E88">
        <w:rPr>
          <w:bCs/>
          <w:szCs w:val="20"/>
        </w:rPr>
        <w:t>,</w:t>
      </w:r>
      <w:r w:rsidR="00260E88" w:rsidRPr="009E5BDC">
        <w:rPr>
          <w:bCs/>
          <w:szCs w:val="20"/>
        </w:rPr>
        <w:t xml:space="preserve"> </w:t>
      </w:r>
      <w:r w:rsidR="00260E88">
        <w:rPr>
          <w:bCs/>
          <w:szCs w:val="20"/>
        </w:rPr>
        <w:t>mivel</w:t>
      </w:r>
      <w:r w:rsidR="00260E88" w:rsidRPr="009E5BDC">
        <w:rPr>
          <w:bCs/>
          <w:szCs w:val="20"/>
        </w:rPr>
        <w:t xml:space="preserve"> az </w:t>
      </w:r>
      <w:proofErr w:type="spellStart"/>
      <w:r w:rsidR="00260E88" w:rsidRPr="009E5BDC">
        <w:rPr>
          <w:bCs/>
          <w:szCs w:val="20"/>
        </w:rPr>
        <w:t>árgarancia</w:t>
      </w:r>
      <w:proofErr w:type="spellEnd"/>
      <w:r w:rsidR="00260E88" w:rsidRPr="009E5BDC">
        <w:rPr>
          <w:bCs/>
          <w:szCs w:val="20"/>
        </w:rPr>
        <w:t xml:space="preserve"> rendszerét olyan többszörös korlátozó feltételekkel alakította ki, amelyek</w:t>
      </w:r>
      <w:r w:rsidR="001A2699">
        <w:rPr>
          <w:bCs/>
          <w:szCs w:val="20"/>
        </w:rPr>
        <w:t xml:space="preserve"> a</w:t>
      </w:r>
      <w:r w:rsidR="00260E88" w:rsidRPr="009E5BDC">
        <w:rPr>
          <w:bCs/>
          <w:szCs w:val="20"/>
        </w:rPr>
        <w:t xml:space="preserve"> fogyasztó</w:t>
      </w:r>
      <w:r w:rsidR="000F0082">
        <w:rPr>
          <w:bCs/>
          <w:szCs w:val="20"/>
        </w:rPr>
        <w:t>k</w:t>
      </w:r>
      <w:r w:rsidR="00260E88" w:rsidRPr="009E5BDC">
        <w:rPr>
          <w:bCs/>
          <w:szCs w:val="20"/>
        </w:rPr>
        <w:t xml:space="preserve"> számára megnehezítik mind az igény érvényesítését, mind a garancia keretében megszerezhető kupon felhasználhatóság</w:t>
      </w:r>
      <w:r w:rsidR="00260E88">
        <w:rPr>
          <w:bCs/>
          <w:szCs w:val="20"/>
        </w:rPr>
        <w:t>át.</w:t>
      </w:r>
    </w:p>
    <w:p w14:paraId="6F53A87E" w14:textId="44170E77" w:rsidR="007C437E" w:rsidRDefault="007C437E" w:rsidP="00675F74">
      <w:pPr>
        <w:tabs>
          <w:tab w:val="left" w:pos="567"/>
        </w:tabs>
        <w:spacing w:after="120"/>
        <w:ind w:left="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</w:t>
      </w:r>
      <w:r w:rsidRPr="00782EE0">
        <w:t xml:space="preserve">A </w:t>
      </w:r>
      <w:r w:rsidR="000F0082">
        <w:t>GVH</w:t>
      </w:r>
      <w:r w:rsidRPr="00782EE0">
        <w:t xml:space="preserve"> felhívja a figyelmet arra, hogy a versenytörvény szerint az ügyfélnek a tényállás tisztázásához szükséges adatok közlésére való felhívásától az annak teljesítéséig terjedő időtartam az ügyintézési határidő</w:t>
      </w:r>
      <w:r>
        <w:t>be</w:t>
      </w:r>
      <w:r w:rsidRPr="00782EE0">
        <w:t xml:space="preserve"> nem számít be</w:t>
      </w:r>
      <w:r>
        <w:t>le.</w:t>
      </w:r>
    </w:p>
    <w:p w14:paraId="4D36EBF6" w14:textId="6445D9E6" w:rsidR="000D7B53" w:rsidRPr="000D7B53" w:rsidRDefault="004B0548" w:rsidP="00675F74">
      <w:pPr>
        <w:tabs>
          <w:tab w:val="left" w:pos="567"/>
        </w:tabs>
        <w:spacing w:after="120"/>
        <w:ind w:left="0"/>
        <w:rPr>
          <w:rFonts w:eastAsiaTheme="majorEastAsia"/>
        </w:rPr>
      </w:pPr>
      <w:r w:rsidRPr="00BA53D1">
        <w:t xml:space="preserve">A GVH több, az információ elrejtését célzó </w:t>
      </w:r>
      <w:r>
        <w:t xml:space="preserve">online </w:t>
      </w:r>
      <w:r w:rsidRPr="00BA53D1">
        <w:t xml:space="preserve">módszert </w:t>
      </w:r>
      <w:r>
        <w:t>(ún</w:t>
      </w:r>
      <w:r w:rsidR="00E00774">
        <w:t>.</w:t>
      </w:r>
      <w:r>
        <w:t xml:space="preserve"> sötét mintázatot) </w:t>
      </w:r>
      <w:r w:rsidRPr="00BA53D1">
        <w:t>alkalmazó</w:t>
      </w:r>
      <w:r>
        <w:t xml:space="preserve"> vállalkozást is vizsgált az elmúlt években. </w:t>
      </w:r>
      <w:r w:rsidR="000D7B53">
        <w:t xml:space="preserve">2024-ben a GVH döntésének köszönhetően </w:t>
      </w:r>
      <w:hyperlink r:id="rId8" w:history="1">
        <w:r w:rsidR="000D7B53" w:rsidRPr="000D7B53">
          <w:rPr>
            <w:rStyle w:val="Hiperhivatkozs"/>
            <w:rFonts w:eastAsiaTheme="majorEastAsia"/>
          </w:rPr>
          <w:t>több mint 80 ezer fogyasztó kaphat</w:t>
        </w:r>
        <w:r w:rsidR="00485EEF">
          <w:rPr>
            <w:rStyle w:val="Hiperhivatkozs"/>
            <w:rFonts w:eastAsiaTheme="majorEastAsia"/>
          </w:rPr>
          <w:t>ott</w:t>
        </w:r>
        <w:r w:rsidR="000D7B53" w:rsidRPr="000D7B53">
          <w:rPr>
            <w:rStyle w:val="Hiperhivatkozs"/>
            <w:rFonts w:eastAsiaTheme="majorEastAsia"/>
          </w:rPr>
          <w:t xml:space="preserve"> kompenzációt az </w:t>
        </w:r>
        <w:proofErr w:type="spellStart"/>
        <w:r w:rsidR="000D7B53" w:rsidRPr="000D7B53">
          <w:rPr>
            <w:rStyle w:val="Hiperhivatkozs"/>
            <w:rFonts w:eastAsiaTheme="majorEastAsia"/>
          </w:rPr>
          <w:t>Eventim</w:t>
        </w:r>
        <w:proofErr w:type="spellEnd"/>
        <w:r w:rsidR="000D7B53" w:rsidRPr="000D7B53">
          <w:rPr>
            <w:rStyle w:val="Hiperhivatkozs"/>
            <w:rFonts w:eastAsiaTheme="majorEastAsia"/>
          </w:rPr>
          <w:t xml:space="preserve"> jegyértékesítő portáltól</w:t>
        </w:r>
      </w:hyperlink>
      <w:r w:rsidR="000D7B53">
        <w:rPr>
          <w:rStyle w:val="Kiemels2"/>
          <w:rFonts w:eastAsiaTheme="majorEastAsia"/>
          <w:b w:val="0"/>
          <w:bCs w:val="0"/>
        </w:rPr>
        <w:t xml:space="preserve">. A </w:t>
      </w:r>
      <w:proofErr w:type="spellStart"/>
      <w:r w:rsidR="000D7B53">
        <w:rPr>
          <w:rStyle w:val="Kiemels2"/>
          <w:rFonts w:eastAsiaTheme="majorEastAsia"/>
          <w:b w:val="0"/>
          <w:bCs w:val="0"/>
        </w:rPr>
        <w:t>Wizz</w:t>
      </w:r>
      <w:proofErr w:type="spellEnd"/>
      <w:r w:rsidR="000D7B53">
        <w:rPr>
          <w:rStyle w:val="Kiemels2"/>
          <w:rFonts w:eastAsiaTheme="majorEastAsia"/>
          <w:b w:val="0"/>
          <w:bCs w:val="0"/>
        </w:rPr>
        <w:t xml:space="preserve"> Air tájékoztatási gyakorlatát az elmúl</w:t>
      </w:r>
      <w:r w:rsidR="00485EEF">
        <w:rPr>
          <w:rStyle w:val="Kiemels2"/>
          <w:rFonts w:eastAsiaTheme="majorEastAsia"/>
          <w:b w:val="0"/>
          <w:bCs w:val="0"/>
        </w:rPr>
        <w:t>t</w:t>
      </w:r>
      <w:r w:rsidR="000D7B53">
        <w:rPr>
          <w:rStyle w:val="Kiemels2"/>
          <w:rFonts w:eastAsiaTheme="majorEastAsia"/>
          <w:b w:val="0"/>
          <w:bCs w:val="0"/>
        </w:rPr>
        <w:t xml:space="preserve"> években számos alkalommal vizsgálta a GVH, tavaly </w:t>
      </w:r>
      <w:hyperlink r:id="rId9" w:history="1">
        <w:r w:rsidR="000D7B53" w:rsidRPr="000D7B53">
          <w:rPr>
            <w:rStyle w:val="Hiperhivatkozs"/>
            <w:rFonts w:eastAsiaTheme="majorEastAsia"/>
          </w:rPr>
          <w:t>300 millió Ft bírságot kapott a vállalkozás, mert megtévesztette az utasait,</w:t>
        </w:r>
      </w:hyperlink>
      <w:r w:rsidR="000D7B53">
        <w:rPr>
          <w:rStyle w:val="Kiemels2"/>
          <w:rFonts w:eastAsiaTheme="majorEastAsia"/>
          <w:b w:val="0"/>
          <w:bCs w:val="0"/>
        </w:rPr>
        <w:t xml:space="preserve"> a GVH legutóbbi döntése alapján pedig </w:t>
      </w:r>
      <w:hyperlink r:id="rId10" w:history="1">
        <w:r w:rsidR="000D7B53" w:rsidRPr="00E00774">
          <w:rPr>
            <w:rStyle w:val="Hiperhivatkozs"/>
            <w:rFonts w:eastAsiaTheme="majorEastAsia"/>
          </w:rPr>
          <w:t xml:space="preserve">több ezer fogyasztónak fizet pénzben is lehívható kompenzációt a </w:t>
        </w:r>
        <w:proofErr w:type="spellStart"/>
        <w:r w:rsidR="000D7B53" w:rsidRPr="00E00774">
          <w:rPr>
            <w:rStyle w:val="Hiperhivatkozs"/>
            <w:rFonts w:eastAsiaTheme="majorEastAsia"/>
          </w:rPr>
          <w:t>Wizz</w:t>
        </w:r>
        <w:proofErr w:type="spellEnd"/>
        <w:r w:rsidR="000D7B53" w:rsidRPr="00E00774">
          <w:rPr>
            <w:rStyle w:val="Hiperhivatkozs"/>
            <w:rFonts w:eastAsiaTheme="majorEastAsia"/>
          </w:rPr>
          <w:t xml:space="preserve"> Air</w:t>
        </w:r>
      </w:hyperlink>
      <w:r w:rsidR="000D7B53">
        <w:rPr>
          <w:rStyle w:val="Kiemels2"/>
          <w:rFonts w:eastAsiaTheme="majorEastAsia"/>
          <w:b w:val="0"/>
          <w:bCs w:val="0"/>
        </w:rPr>
        <w:t xml:space="preserve">, mert lényeges információkat hallgatott </w:t>
      </w:r>
      <w:r w:rsidR="00E00774">
        <w:rPr>
          <w:rStyle w:val="Kiemels2"/>
          <w:rFonts w:eastAsiaTheme="majorEastAsia"/>
          <w:b w:val="0"/>
          <w:bCs w:val="0"/>
        </w:rPr>
        <w:t>az online utasfelvétellel kapcsolatban.</w:t>
      </w:r>
    </w:p>
    <w:p w14:paraId="28A46EF4" w14:textId="7A078622" w:rsidR="004B0548" w:rsidRDefault="004B0548" w:rsidP="00675F74">
      <w:pPr>
        <w:tabs>
          <w:tab w:val="left" w:pos="567"/>
        </w:tabs>
        <w:spacing w:after="120"/>
        <w:ind w:left="0"/>
      </w:pPr>
      <w:r>
        <w:t xml:space="preserve">A hasonló, kifogásolható gyakorlatok egyre elterjedtebbek: az Európai Bizottság </w:t>
      </w:r>
      <w:r w:rsidR="00AB698E">
        <w:t xml:space="preserve">2023-ban </w:t>
      </w:r>
      <w:hyperlink r:id="rId11" w:history="1">
        <w:r>
          <w:rPr>
            <w:rStyle w:val="Hiperhivatkozs"/>
            <w:rFonts w:eastAsiaTheme="majorEastAsia"/>
          </w:rPr>
          <w:t>hozta nyilvánosságra</w:t>
        </w:r>
      </w:hyperlink>
      <w:r>
        <w:t xml:space="preserve"> annak az összehangolt, 25 országra kiterjedő gyorsvizsgálatnak az eredményeit, amely az ún. „sötét mintázatok” jelenlétét mérte fel az online kereskedelemben. Az eredmények alapján </w:t>
      </w:r>
      <w:hyperlink r:id="rId12" w:history="1">
        <w:r>
          <w:rPr>
            <w:rStyle w:val="Hiperhivatkozs"/>
            <w:rFonts w:eastAsiaTheme="majorEastAsia"/>
          </w:rPr>
          <w:t>a vállalkozások jelentős része torzítja tisztességtelen módszerekkel a fogyasztók döntéseit</w:t>
        </w:r>
      </w:hyperlink>
      <w:r>
        <w:t xml:space="preserve"> a saját érdekeit szolgáló lehetőségek felé, internetes felületeik kialakításával vagy nyelvezetével.</w:t>
      </w:r>
    </w:p>
    <w:p w14:paraId="10391E37" w14:textId="575E963E" w:rsidR="0094208B" w:rsidRPr="00A56022" w:rsidRDefault="00361831" w:rsidP="00675F74">
      <w:pPr>
        <w:spacing w:after="80"/>
        <w:ind w:left="0"/>
      </w:pPr>
      <w:r w:rsidRPr="00A56022">
        <w:t xml:space="preserve">Az ügy hivatali nyilvántartási száma: </w:t>
      </w:r>
      <w:r w:rsidRPr="00A56022">
        <w:rPr>
          <w:b/>
          <w:bCs/>
        </w:rPr>
        <w:t>VJ/</w:t>
      </w:r>
      <w:r w:rsidR="009405DE">
        <w:rPr>
          <w:b/>
          <w:bCs/>
        </w:rPr>
        <w:t>4</w:t>
      </w:r>
      <w:r w:rsidRPr="00A56022">
        <w:rPr>
          <w:b/>
          <w:bCs/>
        </w:rPr>
        <w:t>/202</w:t>
      </w:r>
      <w:r w:rsidR="009405DE">
        <w:rPr>
          <w:b/>
          <w:bCs/>
        </w:rPr>
        <w:t>5</w:t>
      </w:r>
      <w:r w:rsidRPr="00A56022">
        <w:rPr>
          <w:b/>
          <w:bCs/>
        </w:rPr>
        <w:t>.</w:t>
      </w:r>
      <w:bookmarkEnd w:id="1"/>
    </w:p>
    <w:p w14:paraId="46B5F357" w14:textId="21D2DEC8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0F0082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5617" w14:textId="77777777" w:rsidR="00641E9E" w:rsidRDefault="00641E9E">
      <w:pPr>
        <w:spacing w:after="0" w:line="240" w:lineRule="auto"/>
      </w:pPr>
      <w:r>
        <w:separator/>
      </w:r>
    </w:p>
  </w:endnote>
  <w:endnote w:type="continuationSeparator" w:id="0">
    <w:p w14:paraId="132738C4" w14:textId="77777777" w:rsidR="00641E9E" w:rsidRDefault="0064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A66F" w14:textId="77777777" w:rsidR="00641E9E" w:rsidRDefault="00641E9E">
      <w:pPr>
        <w:spacing w:after="0" w:line="240" w:lineRule="auto"/>
      </w:pPr>
      <w:r>
        <w:separator/>
      </w:r>
    </w:p>
  </w:footnote>
  <w:footnote w:type="continuationSeparator" w:id="0">
    <w:p w14:paraId="583E22BC" w14:textId="77777777" w:rsidR="00641E9E" w:rsidRDefault="0064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726B4B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66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55453"/>
    <w:rsid w:val="00057D8B"/>
    <w:rsid w:val="0008081F"/>
    <w:rsid w:val="0009552C"/>
    <w:rsid w:val="000D7B53"/>
    <w:rsid w:val="000E32D6"/>
    <w:rsid w:val="000F0082"/>
    <w:rsid w:val="001215EE"/>
    <w:rsid w:val="001235C9"/>
    <w:rsid w:val="001407FC"/>
    <w:rsid w:val="001431B4"/>
    <w:rsid w:val="00170187"/>
    <w:rsid w:val="001A2699"/>
    <w:rsid w:val="001B65F1"/>
    <w:rsid w:val="001E657E"/>
    <w:rsid w:val="00202D48"/>
    <w:rsid w:val="00206DF4"/>
    <w:rsid w:val="002422DC"/>
    <w:rsid w:val="002574F3"/>
    <w:rsid w:val="00260E88"/>
    <w:rsid w:val="002A0E05"/>
    <w:rsid w:val="002A426E"/>
    <w:rsid w:val="002D7A9E"/>
    <w:rsid w:val="00321D1A"/>
    <w:rsid w:val="00331DA9"/>
    <w:rsid w:val="00333B6A"/>
    <w:rsid w:val="00361831"/>
    <w:rsid w:val="003C51E4"/>
    <w:rsid w:val="003E675C"/>
    <w:rsid w:val="003F10DE"/>
    <w:rsid w:val="00407111"/>
    <w:rsid w:val="00412C12"/>
    <w:rsid w:val="0041642F"/>
    <w:rsid w:val="0041670B"/>
    <w:rsid w:val="00424B8A"/>
    <w:rsid w:val="00430D05"/>
    <w:rsid w:val="00436541"/>
    <w:rsid w:val="004413B5"/>
    <w:rsid w:val="00456D78"/>
    <w:rsid w:val="00463C33"/>
    <w:rsid w:val="00485EEF"/>
    <w:rsid w:val="00491BFC"/>
    <w:rsid w:val="004B0548"/>
    <w:rsid w:val="004B3DBB"/>
    <w:rsid w:val="004C64BF"/>
    <w:rsid w:val="004D4382"/>
    <w:rsid w:val="00536F48"/>
    <w:rsid w:val="00545903"/>
    <w:rsid w:val="005566B7"/>
    <w:rsid w:val="0056361B"/>
    <w:rsid w:val="005A384B"/>
    <w:rsid w:val="005A4856"/>
    <w:rsid w:val="005B25E8"/>
    <w:rsid w:val="005B31C0"/>
    <w:rsid w:val="005E13E7"/>
    <w:rsid w:val="005E21B7"/>
    <w:rsid w:val="005E7373"/>
    <w:rsid w:val="00626E97"/>
    <w:rsid w:val="006368CF"/>
    <w:rsid w:val="00641E9E"/>
    <w:rsid w:val="00662D35"/>
    <w:rsid w:val="00675F74"/>
    <w:rsid w:val="006B4B0A"/>
    <w:rsid w:val="006B5E56"/>
    <w:rsid w:val="006F4B6A"/>
    <w:rsid w:val="0072038E"/>
    <w:rsid w:val="00721117"/>
    <w:rsid w:val="00721F53"/>
    <w:rsid w:val="00726B4B"/>
    <w:rsid w:val="0073217E"/>
    <w:rsid w:val="00736F52"/>
    <w:rsid w:val="00752618"/>
    <w:rsid w:val="00776520"/>
    <w:rsid w:val="00781F02"/>
    <w:rsid w:val="00786EEF"/>
    <w:rsid w:val="007C437E"/>
    <w:rsid w:val="007C6DFA"/>
    <w:rsid w:val="00811EE1"/>
    <w:rsid w:val="00825A2A"/>
    <w:rsid w:val="008302EE"/>
    <w:rsid w:val="00835934"/>
    <w:rsid w:val="008927DB"/>
    <w:rsid w:val="008C44CC"/>
    <w:rsid w:val="00904062"/>
    <w:rsid w:val="00905BBD"/>
    <w:rsid w:val="009217CC"/>
    <w:rsid w:val="009306B9"/>
    <w:rsid w:val="00933AD1"/>
    <w:rsid w:val="009405DE"/>
    <w:rsid w:val="0094208B"/>
    <w:rsid w:val="009C2511"/>
    <w:rsid w:val="009F2A4D"/>
    <w:rsid w:val="00A03A7E"/>
    <w:rsid w:val="00A05CBB"/>
    <w:rsid w:val="00A0694E"/>
    <w:rsid w:val="00A444F7"/>
    <w:rsid w:val="00A5193E"/>
    <w:rsid w:val="00A56022"/>
    <w:rsid w:val="00A577FC"/>
    <w:rsid w:val="00A715B2"/>
    <w:rsid w:val="00A87089"/>
    <w:rsid w:val="00A87DC9"/>
    <w:rsid w:val="00A96997"/>
    <w:rsid w:val="00A96E66"/>
    <w:rsid w:val="00AB698E"/>
    <w:rsid w:val="00B36E43"/>
    <w:rsid w:val="00B44630"/>
    <w:rsid w:val="00B6413F"/>
    <w:rsid w:val="00B814DA"/>
    <w:rsid w:val="00B8194D"/>
    <w:rsid w:val="00B85494"/>
    <w:rsid w:val="00BA4EA9"/>
    <w:rsid w:val="00BC3DFB"/>
    <w:rsid w:val="00BC4099"/>
    <w:rsid w:val="00BD3A16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D213C7"/>
    <w:rsid w:val="00D31443"/>
    <w:rsid w:val="00D74AF1"/>
    <w:rsid w:val="00DB780D"/>
    <w:rsid w:val="00DD0C2E"/>
    <w:rsid w:val="00DF1B75"/>
    <w:rsid w:val="00DF35CB"/>
    <w:rsid w:val="00E00774"/>
    <w:rsid w:val="00E01CA3"/>
    <w:rsid w:val="00E10913"/>
    <w:rsid w:val="00E33ACD"/>
    <w:rsid w:val="00E34509"/>
    <w:rsid w:val="00E45607"/>
    <w:rsid w:val="00E665BD"/>
    <w:rsid w:val="00EC4637"/>
    <w:rsid w:val="00EE0B58"/>
    <w:rsid w:val="00F13997"/>
    <w:rsid w:val="00F22CD6"/>
    <w:rsid w:val="00F261FE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4-es-sajtokozlemenyek/kozvetlen-kompenzacio-az-eventim-ugyfeleinek-a-gvh-eljarasanak-eredmenyek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23-as-sajtokozlemenyek/terjed-a-jogserto-rejtett-befolyasolas-az-online-kereskedelemb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commission/presscorner/detail/en/ip_23_4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vh.hu/sajtoszoba/sajtokozlemenyek/2025-os-sajtokozlemenyek/tobb-ezer-fogyasztonak-fizet-visszateritest-a-wizz-air-a-gvh-nak-koszonheto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4-es-sajtokozlemenyek/nem-a-levegobe-beszel-a-gvh-300-millios-birsagot-kapott-a-wizz-ai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3481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2025-02-11T07:57:00Z</dcterms:created>
  <dcterms:modified xsi:type="dcterms:W3CDTF">2025-02-11T07:57:00Z</dcterms:modified>
</cp:coreProperties>
</file>