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00BA" w14:textId="000F836D" w:rsidR="00811CEA" w:rsidRDefault="00811CEA" w:rsidP="00E5626D">
      <w:pPr>
        <w:tabs>
          <w:tab w:val="left" w:pos="567"/>
        </w:tabs>
        <w:spacing w:after="12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Megtévesztően kommunikált a GymBeam, 100 milliós bírságot fizet a cég</w:t>
      </w:r>
    </w:p>
    <w:p w14:paraId="04C7651B" w14:textId="58F7CA90" w:rsidR="00535AC8" w:rsidRPr="002A63C0" w:rsidRDefault="00361831" w:rsidP="00E5626D">
      <w:pPr>
        <w:tabs>
          <w:tab w:val="left" w:pos="567"/>
        </w:tabs>
        <w:spacing w:after="120"/>
        <w:rPr>
          <w:b/>
        </w:rPr>
      </w:pPr>
      <w:r w:rsidRPr="002A63C0">
        <w:rPr>
          <w:b/>
        </w:rPr>
        <w:t>Budapest, 202</w:t>
      </w:r>
      <w:r w:rsidR="00D213C7" w:rsidRPr="002A63C0">
        <w:rPr>
          <w:b/>
        </w:rPr>
        <w:t>4</w:t>
      </w:r>
      <w:r w:rsidRPr="002A63C0">
        <w:rPr>
          <w:b/>
        </w:rPr>
        <w:t xml:space="preserve">. </w:t>
      </w:r>
      <w:r w:rsidR="00AE78E9">
        <w:rPr>
          <w:b/>
        </w:rPr>
        <w:t>december</w:t>
      </w:r>
      <w:r w:rsidR="002778FF">
        <w:rPr>
          <w:b/>
        </w:rPr>
        <w:t xml:space="preserve"> </w:t>
      </w:r>
      <w:r w:rsidR="002C066D">
        <w:rPr>
          <w:b/>
        </w:rPr>
        <w:t>17</w:t>
      </w:r>
      <w:r w:rsidR="002778FF">
        <w:rPr>
          <w:b/>
        </w:rPr>
        <w:t xml:space="preserve">. </w:t>
      </w:r>
      <w:r w:rsidRPr="002A63C0">
        <w:rPr>
          <w:b/>
        </w:rPr>
        <w:t xml:space="preserve">– </w:t>
      </w:r>
      <w:bookmarkEnd w:id="0"/>
      <w:r w:rsidR="00811CEA">
        <w:rPr>
          <w:b/>
        </w:rPr>
        <w:t xml:space="preserve">Több jogsértést is elkövetett a GymBeam, táplálékkiegészítőket forgalmazó cég a kereskedelmi tevékenységei során – ezt állapította meg a Gazdasági Versenyhivatal (GVH). A cég kommunikációs gyakorlata </w:t>
      </w:r>
      <w:r w:rsidR="00AE78E9">
        <w:rPr>
          <w:b/>
        </w:rPr>
        <w:t>nem felelt meg a szakmai gondosság követelményének</w:t>
      </w:r>
      <w:r w:rsidR="00326E09">
        <w:rPr>
          <w:b/>
        </w:rPr>
        <w:t>: nagy számban alkalmazott</w:t>
      </w:r>
      <w:r w:rsidR="00AE78E9">
        <w:rPr>
          <w:b/>
        </w:rPr>
        <w:t xml:space="preserve"> </w:t>
      </w:r>
      <w:r w:rsidR="00811CEA">
        <w:rPr>
          <w:b/>
        </w:rPr>
        <w:t>olyan az egyes termékek gyógyhatására utaló állításokat</w:t>
      </w:r>
      <w:r w:rsidR="00326E09">
        <w:rPr>
          <w:b/>
        </w:rPr>
        <w:t>,</w:t>
      </w:r>
      <w:r w:rsidR="00811CEA">
        <w:rPr>
          <w:b/>
        </w:rPr>
        <w:t xml:space="preserve"> amelyek tiltottak, illetve </w:t>
      </w:r>
      <w:r w:rsidR="00326E09">
        <w:rPr>
          <w:b/>
        </w:rPr>
        <w:t>olyan egészséggel kapcsolatos állításokat</w:t>
      </w:r>
      <w:r w:rsidR="00E5626D">
        <w:rPr>
          <w:b/>
        </w:rPr>
        <w:t xml:space="preserve"> is használt</w:t>
      </w:r>
      <w:r w:rsidR="00326E09">
        <w:rPr>
          <w:b/>
        </w:rPr>
        <w:t>, amelyek nem feleltek meg a rájuk vonatkozó speciális előírásoknak. Emellett néhány további magatartása is problémásnak bizonyult</w:t>
      </w:r>
      <w:r w:rsidR="00AE78E9">
        <w:rPr>
          <w:b/>
        </w:rPr>
        <w:t>.</w:t>
      </w:r>
      <w:r w:rsidR="000C0418">
        <w:rPr>
          <w:b/>
        </w:rPr>
        <w:t xml:space="preserve"> </w:t>
      </w:r>
      <w:r w:rsidR="00811CEA">
        <w:rPr>
          <w:b/>
        </w:rPr>
        <w:t>A cég elismerte a jogsértéseket és lemondott a jogorvos</w:t>
      </w:r>
      <w:r w:rsidR="00D4071A">
        <w:rPr>
          <w:b/>
        </w:rPr>
        <w:t>lati</w:t>
      </w:r>
      <w:r w:rsidR="00811CEA">
        <w:rPr>
          <w:b/>
        </w:rPr>
        <w:t xml:space="preserve"> jogáról, a GVH Versenytanácsa pedig 100 millió forint bírságot szabott ki a vállalkozásra. </w:t>
      </w:r>
    </w:p>
    <w:p w14:paraId="3E41AB35" w14:textId="66D54EC0" w:rsidR="00535AC8" w:rsidRPr="002A63C0" w:rsidRDefault="00535AC8" w:rsidP="00E5626D">
      <w:pPr>
        <w:tabs>
          <w:tab w:val="left" w:pos="567"/>
        </w:tabs>
        <w:spacing w:after="120"/>
        <w:rPr>
          <w:bCs/>
        </w:rPr>
      </w:pPr>
      <w:r w:rsidRPr="002A63C0">
        <w:rPr>
          <w:bCs/>
        </w:rPr>
        <w:t xml:space="preserve">A Gazdasági Versenyhivatal (GVH) </w:t>
      </w:r>
      <w:hyperlink r:id="rId8" w:history="1">
        <w:r w:rsidRPr="00BD6CBB">
          <w:rPr>
            <w:rStyle w:val="Hiperhivatkozs"/>
            <w:bCs/>
          </w:rPr>
          <w:t xml:space="preserve">2022 </w:t>
        </w:r>
        <w:r w:rsidR="000C0418" w:rsidRPr="00BD6CBB">
          <w:rPr>
            <w:rStyle w:val="Hiperhivatkozs"/>
            <w:bCs/>
          </w:rPr>
          <w:t>végén</w:t>
        </w:r>
        <w:r w:rsidRPr="00BD6CBB">
          <w:rPr>
            <w:rStyle w:val="Hiperhivatkozs"/>
            <w:bCs/>
          </w:rPr>
          <w:t xml:space="preserve"> indított versenyfelügyeleti eljárást</w:t>
        </w:r>
        <w:r w:rsidR="000C0418" w:rsidRPr="00BD6CBB">
          <w:rPr>
            <w:rStyle w:val="Hiperhivatkozs"/>
            <w:bCs/>
          </w:rPr>
          <w:t xml:space="preserve"> a </w:t>
        </w:r>
        <w:r w:rsidR="00F85794" w:rsidRPr="00BD6CBB">
          <w:rPr>
            <w:rStyle w:val="Hiperhivatkozs"/>
          </w:rPr>
          <w:t>GymBeam s.r.o.-val és annak magyarországi leányvállalata a Gymbeam Hungary Kft.-vel szemben</w:t>
        </w:r>
      </w:hyperlink>
      <w:r w:rsidR="00F85794">
        <w:rPr>
          <w:bCs/>
        </w:rPr>
        <w:t xml:space="preserve">, mivel akkori gyanúja szerint a cég </w:t>
      </w:r>
      <w:r w:rsidR="00F85794">
        <w:t>több szempontból is tisztességtelen kereskedelmi gyakorlatot folytat</w:t>
      </w:r>
      <w:r w:rsidR="00BD6CBB">
        <w:t>ott</w:t>
      </w:r>
      <w:r w:rsidR="00F85794">
        <w:t xml:space="preserve"> a hazai fogyasztókkal szemben.</w:t>
      </w:r>
    </w:p>
    <w:p w14:paraId="404AE4A6" w14:textId="77777777" w:rsidR="002778FF" w:rsidRDefault="00F85794" w:rsidP="002778FF">
      <w:pPr>
        <w:tabs>
          <w:tab w:val="left" w:pos="567"/>
        </w:tabs>
        <w:spacing w:after="120"/>
        <w:rPr>
          <w:bCs/>
        </w:rPr>
      </w:pPr>
      <w:r>
        <w:rPr>
          <w:bCs/>
        </w:rPr>
        <w:t>A nemzeti versenyhatóság az eljárás során megállapította, hogy a cég kereskedelmi gyakorlata valóban több ponton jogsértő volt.</w:t>
      </w:r>
      <w:r w:rsidR="002075A5">
        <w:rPr>
          <w:bCs/>
        </w:rPr>
        <w:t xml:space="preserve"> A vállalkozás:</w:t>
      </w:r>
    </w:p>
    <w:p w14:paraId="3199FF01" w14:textId="51A52674" w:rsidR="002778FF" w:rsidRPr="002778FF" w:rsidRDefault="00BD6CBB" w:rsidP="002778FF">
      <w:pPr>
        <w:pStyle w:val="Listaszerbekezds"/>
        <w:numPr>
          <w:ilvl w:val="0"/>
          <w:numId w:val="2"/>
        </w:numPr>
        <w:tabs>
          <w:tab w:val="left" w:pos="567"/>
        </w:tabs>
        <w:spacing w:after="120"/>
        <w:rPr>
          <w:bCs/>
        </w:rPr>
      </w:pPr>
      <w:r w:rsidRPr="002778FF">
        <w:rPr>
          <w:bCs/>
        </w:rPr>
        <w:t xml:space="preserve">a </w:t>
      </w:r>
      <w:r w:rsidR="00F85794" w:rsidRPr="002778FF">
        <w:rPr>
          <w:bCs/>
        </w:rPr>
        <w:t xml:space="preserve">honlapján </w:t>
      </w:r>
      <w:r w:rsidRPr="002778FF">
        <w:rPr>
          <w:bCs/>
        </w:rPr>
        <w:t>megjelenített</w:t>
      </w:r>
      <w:r w:rsidR="00F85794" w:rsidRPr="002778FF">
        <w:rPr>
          <w:bCs/>
        </w:rPr>
        <w:t xml:space="preserve"> termékleírásokban sok esetben olyan egészségre gyakorolt </w:t>
      </w:r>
      <w:r w:rsidR="009B5B22" w:rsidRPr="002778FF">
        <w:rPr>
          <w:bCs/>
        </w:rPr>
        <w:t xml:space="preserve">kedvező </w:t>
      </w:r>
      <w:r w:rsidR="00F85794" w:rsidRPr="002778FF">
        <w:rPr>
          <w:bCs/>
        </w:rPr>
        <w:t>hatásokat, illetve gyógyhatás</w:t>
      </w:r>
      <w:r w:rsidR="009B5B22" w:rsidRPr="002778FF">
        <w:rPr>
          <w:bCs/>
        </w:rPr>
        <w:t>okat</w:t>
      </w:r>
      <w:r w:rsidR="00F85794" w:rsidRPr="002778FF">
        <w:rPr>
          <w:bCs/>
        </w:rPr>
        <w:t xml:space="preserve"> </w:t>
      </w:r>
      <w:r w:rsidR="009B5B22" w:rsidRPr="002778FF">
        <w:rPr>
          <w:bCs/>
        </w:rPr>
        <w:t>tüntetett fel</w:t>
      </w:r>
      <w:r w:rsidR="00F85794" w:rsidRPr="002778FF">
        <w:rPr>
          <w:bCs/>
        </w:rPr>
        <w:t>, amelyek</w:t>
      </w:r>
      <w:r w:rsidR="009B5B22" w:rsidRPr="002778FF">
        <w:rPr>
          <w:bCs/>
        </w:rPr>
        <w:t xml:space="preserve"> vagy</w:t>
      </w:r>
      <w:r w:rsidR="00F85794" w:rsidRPr="002778FF">
        <w:rPr>
          <w:bCs/>
        </w:rPr>
        <w:t xml:space="preserve"> nem feleltek meg a jogszabályi követelményeknek, </w:t>
      </w:r>
      <w:r w:rsidR="009B5B22" w:rsidRPr="002778FF">
        <w:rPr>
          <w:bCs/>
        </w:rPr>
        <w:t>vagy egyenesen</w:t>
      </w:r>
      <w:r w:rsidR="00F85794" w:rsidRPr="002778FF">
        <w:rPr>
          <w:bCs/>
        </w:rPr>
        <w:t xml:space="preserve"> tiltottak</w:t>
      </w:r>
      <w:r w:rsidR="002075A5" w:rsidRPr="002778FF">
        <w:rPr>
          <w:bCs/>
        </w:rPr>
        <w:t xml:space="preserve"> voltak.</w:t>
      </w:r>
    </w:p>
    <w:p w14:paraId="33A55E32" w14:textId="37E57D22" w:rsidR="002778FF" w:rsidRPr="002778FF" w:rsidRDefault="002075A5" w:rsidP="002778FF">
      <w:pPr>
        <w:pStyle w:val="Listaszerbekezds"/>
        <w:numPr>
          <w:ilvl w:val="0"/>
          <w:numId w:val="2"/>
        </w:numPr>
        <w:tabs>
          <w:tab w:val="left" w:pos="567"/>
        </w:tabs>
        <w:spacing w:after="120"/>
        <w:rPr>
          <w:bCs/>
        </w:rPr>
      </w:pPr>
      <w:r>
        <w:t>2022. május 1. és 2023. november 7. között áthúzott árak alkalmazásával, és „legjobb árak” szlogen közzétételével valótlanul azt sugallta a fogyasztóknak, hogy egyes termékeket kedvezményesen vásárolhatnak meg.</w:t>
      </w:r>
    </w:p>
    <w:p w14:paraId="355D41D7" w14:textId="541736C6" w:rsidR="002075A5" w:rsidRPr="002778FF" w:rsidRDefault="002075A5" w:rsidP="002778FF">
      <w:pPr>
        <w:pStyle w:val="Listaszerbekezds"/>
        <w:numPr>
          <w:ilvl w:val="0"/>
          <w:numId w:val="2"/>
        </w:numPr>
        <w:tabs>
          <w:tab w:val="left" w:pos="567"/>
        </w:tabs>
        <w:spacing w:after="120"/>
        <w:rPr>
          <w:bCs/>
        </w:rPr>
      </w:pPr>
      <w:r w:rsidRPr="002778FF">
        <w:rPr>
          <w:bCs/>
        </w:rPr>
        <w:t xml:space="preserve">2022. május 28-tól kezdődően, a jogszabályi előírás ellenére, nem jelenített meg egyes információkat </w:t>
      </w:r>
      <w:r>
        <w:t>a fogyasztói értékelések kezelésével és szűrésével kapcsolatban.</w:t>
      </w:r>
    </w:p>
    <w:p w14:paraId="0B2E7AC5" w14:textId="6365891D" w:rsidR="002075A5" w:rsidRDefault="002075A5" w:rsidP="00E5626D">
      <w:pPr>
        <w:tabs>
          <w:tab w:val="left" w:pos="567"/>
        </w:tabs>
        <w:spacing w:after="120"/>
      </w:pPr>
      <w:r>
        <w:rPr>
          <w:bCs/>
        </w:rPr>
        <w:t xml:space="preserve">A Gazdasági Versenyhivatal Versenytanácsa </w:t>
      </w:r>
      <w:r w:rsidR="0083366A">
        <w:rPr>
          <w:bCs/>
        </w:rPr>
        <w:t xml:space="preserve">a jogsértéseken felül </w:t>
      </w:r>
      <w:r>
        <w:rPr>
          <w:bCs/>
        </w:rPr>
        <w:t xml:space="preserve">megállapította, hogy a GymBeam kommunikációs gyakorlata összességében nem felelt meg a szakmai gondosság követelményének, mivel a cég nem biztosította, hogy ne forduljanak elő a felsorolt jogsértésekhez hasonló, nagy számú és rendszerszerű problémák. Több </w:t>
      </w:r>
      <w:r>
        <w:t>termék forgalmazására ráadásul úgy került sor, hogy azokat a cég nem jelentette be előzetesen az illetékes hatóságoknak.</w:t>
      </w:r>
    </w:p>
    <w:p w14:paraId="6BD390D7" w14:textId="6B43B4FE" w:rsidR="002075A5" w:rsidRPr="00811CEA" w:rsidRDefault="00E77D82" w:rsidP="00E5626D">
      <w:pPr>
        <w:tabs>
          <w:tab w:val="left" w:pos="567"/>
        </w:tabs>
        <w:spacing w:after="120"/>
      </w:pPr>
      <w:r>
        <w:t>A</w:t>
      </w:r>
      <w:r w:rsidR="00811CEA">
        <w:t xml:space="preserve">z eljárás során a cég együttműködött a GVH-val, </w:t>
      </w:r>
      <w:r w:rsidR="00811CEA" w:rsidRPr="00811CEA">
        <w:t>elismerte a jogsértések</w:t>
      </w:r>
      <w:r w:rsidR="00811CEA">
        <w:t>et</w:t>
      </w:r>
      <w:r w:rsidR="00811CEA" w:rsidRPr="00811CEA">
        <w:t>, lemondott jogorvoslati jogáról és utólagos megfelelési program bevezetését is vállalta. A megfelelési program többek között egy megfelelési szabályzat kialakítását, belső oktatások tartását és az Önszabályozó Reklám Testülethez (ÖRT) való csatlakozást is magában foglalja.</w:t>
      </w:r>
      <w:r w:rsidR="00811CEA">
        <w:t xml:space="preserve"> Mindezeket a GVH Versenytanácsa enyhítő körülményként figyelembe vett</w:t>
      </w:r>
      <w:r w:rsidR="002778FF">
        <w:t>e</w:t>
      </w:r>
      <w:r w:rsidR="00811CEA">
        <w:t xml:space="preserve"> és végül </w:t>
      </w:r>
      <w:r>
        <w:t>100 millió forint bírságot szabott ki a vállalkozásra.</w:t>
      </w:r>
    </w:p>
    <w:p w14:paraId="7D156159" w14:textId="3A38BAC8" w:rsidR="00535AC8" w:rsidRDefault="003E29D9" w:rsidP="00E5626D">
      <w:pPr>
        <w:tabs>
          <w:tab w:val="left" w:pos="567"/>
        </w:tabs>
        <w:spacing w:after="120"/>
        <w:rPr>
          <w:color w:val="000000"/>
        </w:rPr>
      </w:pPr>
      <w:r>
        <w:rPr>
          <w:color w:val="000000"/>
        </w:rPr>
        <w:t>A nemzeti versenyhatóság ezúton is felhívja a vállalkozások figyelmét arra, hogy az élelmiszerekkel kapcsolatos, tápanyag-összetételre és egészségre vonatkozó reklámállításokat az európai közösségi jog közvetlenül szabályozza. A szabályozás értelmében az élelmiszerekkel kapcsolatban csak abban az esetben szabad egészségre vonatkozó állítást tenni, amennyiben az megfelel a rendeletben meghatározott feltételeknek és szerepel a tudományos ismereteken alapuló, </w:t>
      </w:r>
      <w:hyperlink r:id="rId9" w:history="1">
        <w:r>
          <w:rPr>
            <w:rStyle w:val="Hiperhivatkozs"/>
            <w:rFonts w:eastAsiaTheme="majorEastAsia"/>
          </w:rPr>
          <w:t>engedélyezett állítások tételes EU-s</w:t>
        </w:r>
        <w:r w:rsidR="0083366A">
          <w:rPr>
            <w:rStyle w:val="Hiperhivatkozs"/>
            <w:rFonts w:eastAsiaTheme="majorEastAsia"/>
          </w:rPr>
          <w:t xml:space="preserve"> </w:t>
        </w:r>
        <w:r>
          <w:rPr>
            <w:rStyle w:val="Hiperhivatkozs"/>
            <w:rFonts w:eastAsiaTheme="majorEastAsia"/>
          </w:rPr>
          <w:t>listáján</w:t>
        </w:r>
      </w:hyperlink>
      <w:r>
        <w:rPr>
          <w:color w:val="000000"/>
        </w:rPr>
        <w:t>.</w:t>
      </w:r>
    </w:p>
    <w:p w14:paraId="5676E6D5" w14:textId="28CF334D" w:rsidR="00A86BF2" w:rsidRPr="00811CEA" w:rsidRDefault="00BD6CBB" w:rsidP="00E5626D">
      <w:pPr>
        <w:tabs>
          <w:tab w:val="left" w:pos="567"/>
        </w:tabs>
        <w:spacing w:after="120"/>
        <w:rPr>
          <w:color w:val="000000"/>
        </w:rPr>
      </w:pPr>
      <w:r>
        <w:rPr>
          <w:color w:val="000000"/>
        </w:rPr>
        <w:lastRenderedPageBreak/>
        <w:t>Az ügy továbbá</w:t>
      </w:r>
      <w:r w:rsidR="00811CEA">
        <w:rPr>
          <w:color w:val="000000"/>
        </w:rPr>
        <w:t xml:space="preserve"> arra is rámutat</w:t>
      </w:r>
      <w:r>
        <w:rPr>
          <w:color w:val="000000"/>
        </w:rPr>
        <w:t xml:space="preserve">, hogy megéri együttműködni a Gazdasági Versenyhivatallal. </w:t>
      </w:r>
      <w:r>
        <w:t xml:space="preserve">A GVH-nak nem elsődleges célja a bírságolás, ezért </w:t>
      </w:r>
      <w:hyperlink r:id="rId10" w:history="1">
        <w:r>
          <w:rPr>
            <w:rStyle w:val="Hiperhivatkozs"/>
            <w:rFonts w:eastAsiaTheme="majorEastAsia"/>
          </w:rPr>
          <w:t>számos együttműködési lehetőséget kínál</w:t>
        </w:r>
      </w:hyperlink>
      <w:r>
        <w:t xml:space="preserve"> a vállalkozások számára. Aktív együttműködéssel az eljárások során jelentősen mérsékelhető a bírságösszeg.</w:t>
      </w:r>
    </w:p>
    <w:p w14:paraId="10391E37" w14:textId="6DA42456" w:rsidR="0094208B" w:rsidRDefault="00361831" w:rsidP="00E5626D">
      <w:pPr>
        <w:spacing w:after="120"/>
        <w:rPr>
          <w:b/>
          <w:bCs/>
        </w:rPr>
      </w:pPr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BD6CBB">
        <w:rPr>
          <w:b/>
          <w:bCs/>
        </w:rPr>
        <w:t>51</w:t>
      </w:r>
      <w:r w:rsidRPr="002B7232">
        <w:rPr>
          <w:b/>
          <w:bCs/>
        </w:rPr>
        <w:t>/202</w:t>
      </w:r>
      <w:r w:rsidR="006C582B">
        <w:rPr>
          <w:b/>
          <w:bCs/>
        </w:rPr>
        <w:t>2</w:t>
      </w:r>
      <w:r w:rsidRPr="002B7232">
        <w:rPr>
          <w:b/>
          <w:bCs/>
        </w:rPr>
        <w:t>.</w:t>
      </w:r>
      <w:bookmarkEnd w:id="1"/>
    </w:p>
    <w:p w14:paraId="7F0E7D03" w14:textId="77777777" w:rsidR="006252D1" w:rsidRPr="00C72051" w:rsidRDefault="006252D1" w:rsidP="00E5626D">
      <w:pPr>
        <w:spacing w:after="0"/>
      </w:pPr>
    </w:p>
    <w:p w14:paraId="46B5F357" w14:textId="21D2DEC8" w:rsidR="00361831" w:rsidRPr="00A87089" w:rsidRDefault="00361831" w:rsidP="00E5626D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E5626D">
      <w:pPr>
        <w:spacing w:after="0"/>
      </w:pPr>
      <w:r>
        <w:t>További információ:</w:t>
      </w:r>
    </w:p>
    <w:p w14:paraId="707774B9" w14:textId="77777777" w:rsidR="00361831" w:rsidRDefault="00361831" w:rsidP="00E5626D">
      <w:pPr>
        <w:spacing w:after="0"/>
      </w:pPr>
      <w:r>
        <w:t>Horváth Bálint, kommunikációs vezető +36 20 238 6939</w:t>
      </w:r>
    </w:p>
    <w:p w14:paraId="4198A9CE" w14:textId="76D261F2" w:rsidR="002A426E" w:rsidRDefault="00361831" w:rsidP="00E5626D">
      <w:pPr>
        <w:spacing w:after="0"/>
      </w:pPr>
      <w:r>
        <w:t>Gondolovics Katalin, sajtószóvivő +36 30 603 1170</w:t>
      </w:r>
    </w:p>
    <w:sectPr w:rsidR="002A426E" w:rsidSect="00E5626D"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A157" w14:textId="77777777" w:rsidR="009B415B" w:rsidRDefault="009B415B">
      <w:pPr>
        <w:spacing w:after="0" w:line="240" w:lineRule="auto"/>
      </w:pPr>
      <w:r>
        <w:separator/>
      </w:r>
    </w:p>
  </w:endnote>
  <w:endnote w:type="continuationSeparator" w:id="0">
    <w:p w14:paraId="00C9F3A2" w14:textId="77777777" w:rsidR="009B415B" w:rsidRDefault="009B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3567BD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3567BD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4759" w14:textId="77777777" w:rsidR="009B415B" w:rsidRDefault="009B415B">
      <w:pPr>
        <w:spacing w:after="0" w:line="240" w:lineRule="auto"/>
      </w:pPr>
      <w:r>
        <w:separator/>
      </w:r>
    </w:p>
  </w:footnote>
  <w:footnote w:type="continuationSeparator" w:id="0">
    <w:p w14:paraId="0A456D09" w14:textId="77777777" w:rsidR="009B415B" w:rsidRDefault="009B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3567BD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1B2A"/>
    <w:multiLevelType w:val="hybridMultilevel"/>
    <w:tmpl w:val="B7801EE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3DA532A5"/>
    <w:multiLevelType w:val="hybridMultilevel"/>
    <w:tmpl w:val="4C92DBBA"/>
    <w:lvl w:ilvl="0" w:tplc="040E0001">
      <w:start w:val="1"/>
      <w:numFmt w:val="bullet"/>
      <w:lvlText w:val=""/>
      <w:lvlJc w:val="left"/>
      <w:pPr>
        <w:ind w:left="54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 w16cid:durableId="1265575842">
    <w:abstractNumId w:val="1"/>
  </w:num>
  <w:num w:numId="2" w16cid:durableId="66632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9552C"/>
    <w:rsid w:val="000C0418"/>
    <w:rsid w:val="000D3AB1"/>
    <w:rsid w:val="001215EE"/>
    <w:rsid w:val="001407FC"/>
    <w:rsid w:val="001431B4"/>
    <w:rsid w:val="00145480"/>
    <w:rsid w:val="00202D48"/>
    <w:rsid w:val="00206DF4"/>
    <w:rsid w:val="002075A5"/>
    <w:rsid w:val="002574F3"/>
    <w:rsid w:val="002778FF"/>
    <w:rsid w:val="00290D28"/>
    <w:rsid w:val="002A0E05"/>
    <w:rsid w:val="002A426E"/>
    <w:rsid w:val="002A63C0"/>
    <w:rsid w:val="002C066D"/>
    <w:rsid w:val="002D705D"/>
    <w:rsid w:val="002D7A9E"/>
    <w:rsid w:val="00326E09"/>
    <w:rsid w:val="00331DA9"/>
    <w:rsid w:val="00361831"/>
    <w:rsid w:val="003C51E4"/>
    <w:rsid w:val="003E29D9"/>
    <w:rsid w:val="003E675C"/>
    <w:rsid w:val="003F10DE"/>
    <w:rsid w:val="00412C0F"/>
    <w:rsid w:val="00424B8A"/>
    <w:rsid w:val="00430D05"/>
    <w:rsid w:val="004413B5"/>
    <w:rsid w:val="00463C33"/>
    <w:rsid w:val="00491BFC"/>
    <w:rsid w:val="004B3DBB"/>
    <w:rsid w:val="004C64BF"/>
    <w:rsid w:val="00535AC8"/>
    <w:rsid w:val="00545903"/>
    <w:rsid w:val="005566B7"/>
    <w:rsid w:val="005A384B"/>
    <w:rsid w:val="005A4856"/>
    <w:rsid w:val="005B31C0"/>
    <w:rsid w:val="005B76C3"/>
    <w:rsid w:val="005E13E7"/>
    <w:rsid w:val="005E7373"/>
    <w:rsid w:val="006252D1"/>
    <w:rsid w:val="00626E97"/>
    <w:rsid w:val="006368CF"/>
    <w:rsid w:val="00662D35"/>
    <w:rsid w:val="00695914"/>
    <w:rsid w:val="006B4B0A"/>
    <w:rsid w:val="006B5E56"/>
    <w:rsid w:val="006C582B"/>
    <w:rsid w:val="006F4B6A"/>
    <w:rsid w:val="0072038E"/>
    <w:rsid w:val="00721117"/>
    <w:rsid w:val="00721F53"/>
    <w:rsid w:val="00736F52"/>
    <w:rsid w:val="00781F02"/>
    <w:rsid w:val="007C02EC"/>
    <w:rsid w:val="007C255E"/>
    <w:rsid w:val="007C6DFA"/>
    <w:rsid w:val="00800617"/>
    <w:rsid w:val="00811CEA"/>
    <w:rsid w:val="00811EE1"/>
    <w:rsid w:val="00825A2A"/>
    <w:rsid w:val="008302EE"/>
    <w:rsid w:val="0083366A"/>
    <w:rsid w:val="00835934"/>
    <w:rsid w:val="008430F4"/>
    <w:rsid w:val="008927DB"/>
    <w:rsid w:val="008C44CC"/>
    <w:rsid w:val="00904062"/>
    <w:rsid w:val="00905BBD"/>
    <w:rsid w:val="0091382D"/>
    <w:rsid w:val="009263BB"/>
    <w:rsid w:val="00933AD1"/>
    <w:rsid w:val="0094208B"/>
    <w:rsid w:val="009B415B"/>
    <w:rsid w:val="009B5B22"/>
    <w:rsid w:val="009C2511"/>
    <w:rsid w:val="00A444F7"/>
    <w:rsid w:val="00A5193E"/>
    <w:rsid w:val="00A577FC"/>
    <w:rsid w:val="00A715B2"/>
    <w:rsid w:val="00A76669"/>
    <w:rsid w:val="00A86BF2"/>
    <w:rsid w:val="00A87089"/>
    <w:rsid w:val="00A87DC9"/>
    <w:rsid w:val="00A96E66"/>
    <w:rsid w:val="00AC4543"/>
    <w:rsid w:val="00AE5E6B"/>
    <w:rsid w:val="00AE78E9"/>
    <w:rsid w:val="00B331FE"/>
    <w:rsid w:val="00B44630"/>
    <w:rsid w:val="00B6413F"/>
    <w:rsid w:val="00B85494"/>
    <w:rsid w:val="00BC4099"/>
    <w:rsid w:val="00BD6CBB"/>
    <w:rsid w:val="00C02EEB"/>
    <w:rsid w:val="00C24342"/>
    <w:rsid w:val="00C351BD"/>
    <w:rsid w:val="00C372C6"/>
    <w:rsid w:val="00C72051"/>
    <w:rsid w:val="00C8266E"/>
    <w:rsid w:val="00C87708"/>
    <w:rsid w:val="00CA2EBA"/>
    <w:rsid w:val="00CB142A"/>
    <w:rsid w:val="00CD63D8"/>
    <w:rsid w:val="00D16E0C"/>
    <w:rsid w:val="00D213C7"/>
    <w:rsid w:val="00D31443"/>
    <w:rsid w:val="00D4071A"/>
    <w:rsid w:val="00D54402"/>
    <w:rsid w:val="00DA262F"/>
    <w:rsid w:val="00DB780D"/>
    <w:rsid w:val="00DF35CB"/>
    <w:rsid w:val="00E33ACD"/>
    <w:rsid w:val="00E45607"/>
    <w:rsid w:val="00E5626D"/>
    <w:rsid w:val="00E665BD"/>
    <w:rsid w:val="00E77D82"/>
    <w:rsid w:val="00EC4637"/>
    <w:rsid w:val="00EE0B58"/>
    <w:rsid w:val="00F1310D"/>
    <w:rsid w:val="00F13997"/>
    <w:rsid w:val="00F22CD6"/>
    <w:rsid w:val="00F261FE"/>
    <w:rsid w:val="00F85794"/>
    <w:rsid w:val="00FB4742"/>
    <w:rsid w:val="00FC1569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F85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2-es-sajtokozlemenyek/jogsertoen-hirdethetik-a-gymbeam.hu-weboldalon-forgalmazott-etrend-kiegeszitok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pfile/file?path=/szakmai_felhasznaloknak/tajekoztatok/Tajekoztato_a_Gazdasagi_Versenyhivatallal_valo_egyuttmukodesi_lehetosegekrol_es_azok_elonyeirol_230328.pdf1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U/ALL/?uri=CELEX%3A32012R043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4</cp:revision>
  <cp:lastPrinted>2024-12-16T16:34:00Z</cp:lastPrinted>
  <dcterms:created xsi:type="dcterms:W3CDTF">2024-12-16T16:29:00Z</dcterms:created>
  <dcterms:modified xsi:type="dcterms:W3CDTF">2024-12-16T16:48:00Z</dcterms:modified>
</cp:coreProperties>
</file>