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EB08" w14:textId="50079B20" w:rsidR="00305557" w:rsidRDefault="00A60790" w:rsidP="005D5612">
      <w:pPr>
        <w:tabs>
          <w:tab w:val="left" w:pos="567"/>
        </w:tabs>
        <w:spacing w:after="80" w:line="252" w:lineRule="auto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Brutális</w:t>
      </w:r>
      <w:r w:rsidR="00A4656C">
        <w:rPr>
          <w:b/>
          <w:bCs/>
          <w:sz w:val="28"/>
          <w:szCs w:val="28"/>
        </w:rPr>
        <w:t xml:space="preserve"> vasúti</w:t>
      </w:r>
      <w:r>
        <w:rPr>
          <w:b/>
          <w:bCs/>
          <w:sz w:val="28"/>
          <w:szCs w:val="28"/>
        </w:rPr>
        <w:t xml:space="preserve"> </w:t>
      </w:r>
      <w:r w:rsidR="00944F46">
        <w:rPr>
          <w:b/>
          <w:bCs/>
          <w:sz w:val="28"/>
          <w:szCs w:val="28"/>
        </w:rPr>
        <w:t>közbeszerzési kartellt</w:t>
      </w:r>
      <w:r w:rsidR="00A4656C">
        <w:rPr>
          <w:b/>
          <w:bCs/>
          <w:sz w:val="28"/>
          <w:szCs w:val="28"/>
        </w:rPr>
        <w:t xml:space="preserve"> tárt </w:t>
      </w:r>
      <w:r w:rsidR="00944F46">
        <w:rPr>
          <w:b/>
          <w:bCs/>
          <w:sz w:val="28"/>
          <w:szCs w:val="28"/>
        </w:rPr>
        <w:t>fel a GVH</w:t>
      </w:r>
    </w:p>
    <w:p w14:paraId="341728BE" w14:textId="74A18DA1" w:rsidR="00944F46" w:rsidRDefault="00A4656C" w:rsidP="005D5612">
      <w:pPr>
        <w:tabs>
          <w:tab w:val="left" w:pos="567"/>
        </w:tabs>
        <w:spacing w:after="80" w:line="252" w:lineRule="auto"/>
        <w:rPr>
          <w:i/>
          <w:iCs/>
        </w:rPr>
      </w:pPr>
      <w:r>
        <w:rPr>
          <w:i/>
          <w:iCs/>
        </w:rPr>
        <w:t>A Homlok Csop</w:t>
      </w:r>
      <w:r w:rsidR="00FB6CDD">
        <w:rPr>
          <w:i/>
          <w:iCs/>
        </w:rPr>
        <w:t>o</w:t>
      </w:r>
      <w:r>
        <w:rPr>
          <w:i/>
          <w:iCs/>
        </w:rPr>
        <w:t>rt két vállalkozása összesen 1,2 milliárd forint bírságot kapott</w:t>
      </w:r>
    </w:p>
    <w:p w14:paraId="095903DA" w14:textId="3226EBF6" w:rsidR="00A4656C" w:rsidRDefault="00361831" w:rsidP="005D5612">
      <w:pPr>
        <w:tabs>
          <w:tab w:val="left" w:pos="567"/>
        </w:tabs>
        <w:spacing w:after="80" w:line="252" w:lineRule="auto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A4656C">
        <w:rPr>
          <w:b/>
        </w:rPr>
        <w:t>december 1</w:t>
      </w:r>
      <w:r w:rsidR="002456AB">
        <w:rPr>
          <w:b/>
        </w:rPr>
        <w:t>3</w:t>
      </w:r>
      <w:r w:rsidR="00A4656C">
        <w:rPr>
          <w:b/>
        </w:rPr>
        <w:t>.</w:t>
      </w:r>
      <w:r w:rsidR="000041A6">
        <w:rPr>
          <w:b/>
        </w:rPr>
        <w:t xml:space="preserve"> </w:t>
      </w:r>
      <w:r w:rsidR="00A4656C">
        <w:rPr>
          <w:b/>
        </w:rPr>
        <w:t xml:space="preserve">– Tiltott módon összejátszott több cég egy </w:t>
      </w:r>
      <w:r w:rsidR="00264183">
        <w:rPr>
          <w:b/>
        </w:rPr>
        <w:t>több tízmilliárd</w:t>
      </w:r>
      <w:r w:rsidR="00A4656C">
        <w:rPr>
          <w:b/>
        </w:rPr>
        <w:t xml:space="preserve"> forintos Debrecen környéki vasút</w:t>
      </w:r>
      <w:r w:rsidR="00485B7C">
        <w:rPr>
          <w:b/>
        </w:rPr>
        <w:t xml:space="preserve">i </w:t>
      </w:r>
      <w:r w:rsidR="00A4656C">
        <w:rPr>
          <w:b/>
        </w:rPr>
        <w:t xml:space="preserve">fejlesztés közbeszerzése során </w:t>
      </w:r>
      <w:r w:rsidR="00CD7069">
        <w:rPr>
          <w:b/>
        </w:rPr>
        <w:t xml:space="preserve">– tárta fel a Gazdasági Versenyhivatal (GVH). </w:t>
      </w:r>
      <w:r w:rsidR="00A4656C">
        <w:rPr>
          <w:b/>
        </w:rPr>
        <w:t>Az összehangolt kartellezés során szinte mindent egyeztettek egymással az érintett vállalkozások</w:t>
      </w:r>
      <w:r w:rsidR="00FB6CDD">
        <w:rPr>
          <w:b/>
        </w:rPr>
        <w:t>. A kartellt koordináló Homlok Csoport két vállalkozására összesen 1,2 milliárd forint bírságot szabott ki a GVH Versenytanácsa. A cég</w:t>
      </w:r>
      <w:r w:rsidR="0074016E">
        <w:rPr>
          <w:b/>
        </w:rPr>
        <w:t xml:space="preserve">ek </w:t>
      </w:r>
      <w:r w:rsidR="00FB6CDD">
        <w:rPr>
          <w:b/>
        </w:rPr>
        <w:t xml:space="preserve">megpróbálták akadályozni a GVH eljárását, </w:t>
      </w:r>
      <w:r w:rsidR="0074016E">
        <w:rPr>
          <w:b/>
        </w:rPr>
        <w:t xml:space="preserve">képviselőik </w:t>
      </w:r>
      <w:r w:rsidR="00FB6CDD">
        <w:rPr>
          <w:b/>
        </w:rPr>
        <w:t>a meghirdetett tárgyaláson sem vettek részt, ezért további 25 millió forint eljárási bírságot is</w:t>
      </w:r>
      <w:r w:rsidR="0080630D">
        <w:rPr>
          <w:b/>
        </w:rPr>
        <w:t xml:space="preserve"> meg</w:t>
      </w:r>
      <w:r w:rsidR="00FB6CDD">
        <w:rPr>
          <w:b/>
        </w:rPr>
        <w:t xml:space="preserve"> kell fizetniük.</w:t>
      </w:r>
    </w:p>
    <w:p w14:paraId="60D7702E" w14:textId="561DB1DD" w:rsidR="00A4656C" w:rsidRPr="00A14A9C" w:rsidRDefault="00A4656C" w:rsidP="005D5612">
      <w:pPr>
        <w:spacing w:after="80" w:line="252" w:lineRule="auto"/>
      </w:pPr>
      <w:r w:rsidRPr="00A14A9C">
        <w:t>A Gazdasági Versenyhivatal 202</w:t>
      </w:r>
      <w:r>
        <w:t>3</w:t>
      </w:r>
      <w:r w:rsidRPr="00A14A9C">
        <w:t xml:space="preserve">. </w:t>
      </w:r>
      <w:r>
        <w:t>januárjában</w:t>
      </w:r>
      <w:r w:rsidRPr="00A14A9C">
        <w:t xml:space="preserve"> </w:t>
      </w:r>
      <w:r>
        <w:t xml:space="preserve">hivatalból </w:t>
      </w:r>
      <w:r w:rsidRPr="00A14A9C">
        <w:t>indított eljárást</w:t>
      </w:r>
      <w:r>
        <w:t xml:space="preserve"> </w:t>
      </w:r>
      <w:r w:rsidRPr="00985A99">
        <w:t>a NIF Nemzeti Infrastruktúra Fejlesztő Zrt. által kiírt a „</w:t>
      </w:r>
      <w:r w:rsidRPr="00985A99">
        <w:rPr>
          <w:i/>
          <w:iCs/>
        </w:rPr>
        <w:t>Vállalkozási szerződés keretében Debreceni Észak-Nyugati Gazdasági Övezet kialakításával összefüggő vasúti infrastruktúra-fejlesztések 2. ütemének részbeni megvalósítása</w:t>
      </w:r>
      <w:r w:rsidRPr="00985A99">
        <w:t>”</w:t>
      </w:r>
      <w:r w:rsidR="00FB6CDD">
        <w:t xml:space="preserve"> c. </w:t>
      </w:r>
      <w:r>
        <w:t xml:space="preserve">közbeszerzési </w:t>
      </w:r>
      <w:r w:rsidRPr="00985A99">
        <w:t>tenderével kapcsolat</w:t>
      </w:r>
      <w:r>
        <w:t xml:space="preserve">ban. </w:t>
      </w:r>
      <w:r w:rsidRPr="00A14A9C">
        <w:t>A nemzeti versenyhatóság azt gyanította, hogy a közbeszerzési eljárás során bizonyos vállalkozások jogsértő egyeztetéseket folytattak az ajánlati árak, illetve a nyertes meghatározása érdekében.</w:t>
      </w:r>
    </w:p>
    <w:p w14:paraId="43F77E23" w14:textId="7B662792" w:rsidR="00A4656C" w:rsidRPr="00A14A9C" w:rsidRDefault="00A4656C" w:rsidP="005D5612">
      <w:pPr>
        <w:spacing w:after="80" w:line="252" w:lineRule="auto"/>
      </w:pPr>
      <w:r w:rsidRPr="00A14A9C">
        <w:t>A GVH az érintett vállalkozásoknál előzetes bejelentés nélküli helyszíni kutatásokat</w:t>
      </w:r>
      <w:r w:rsidR="00FB6CDD">
        <w:t>, rajtaütéseket</w:t>
      </w:r>
      <w:r w:rsidRPr="00A14A9C">
        <w:t xml:space="preserve"> tartott, és</w:t>
      </w:r>
      <w:r w:rsidR="00FB6CDD">
        <w:t xml:space="preserve"> ezek</w:t>
      </w:r>
      <w:r w:rsidRPr="00A14A9C">
        <w:t xml:space="preserve"> </w:t>
      </w:r>
      <w:r w:rsidR="00FB6CDD">
        <w:t>során</w:t>
      </w:r>
      <w:r w:rsidRPr="00A14A9C">
        <w:t xml:space="preserve"> olyan bizonyítékokat </w:t>
      </w:r>
      <w:r w:rsidR="005D5612">
        <w:t>szerzett be</w:t>
      </w:r>
      <w:r w:rsidRPr="00A14A9C">
        <w:t>, melyek</w:t>
      </w:r>
      <w:r>
        <w:t xml:space="preserve"> egyértelműen</w:t>
      </w:r>
      <w:r w:rsidRPr="00A14A9C">
        <w:t xml:space="preserve"> igazolták a</w:t>
      </w:r>
      <w:r w:rsidR="00FB6CDD">
        <w:t xml:space="preserve"> kezdeti</w:t>
      </w:r>
      <w:r w:rsidRPr="00A14A9C">
        <w:t xml:space="preserve"> kartellgyanút.</w:t>
      </w:r>
    </w:p>
    <w:p w14:paraId="08AECE00" w14:textId="57FDEE46" w:rsidR="00A4656C" w:rsidRPr="00D01E96" w:rsidRDefault="00FB6CDD" w:rsidP="005D5612">
      <w:pPr>
        <w:spacing w:after="80" w:line="252" w:lineRule="auto"/>
        <w:rPr>
          <w:b/>
          <w:bCs/>
        </w:rPr>
      </w:pPr>
      <w:r w:rsidRPr="00D01E96">
        <w:rPr>
          <w:b/>
          <w:bCs/>
        </w:rPr>
        <w:t xml:space="preserve">A GVH </w:t>
      </w:r>
      <w:r w:rsidR="0080630D" w:rsidRPr="00D01E96">
        <w:rPr>
          <w:b/>
          <w:bCs/>
        </w:rPr>
        <w:t>feltárta</w:t>
      </w:r>
      <w:r w:rsidRPr="00D01E96">
        <w:rPr>
          <w:b/>
          <w:bCs/>
        </w:rPr>
        <w:t xml:space="preserve">, </w:t>
      </w:r>
      <w:r w:rsidR="00A4656C" w:rsidRPr="00D01E96">
        <w:rPr>
          <w:b/>
          <w:bCs/>
        </w:rPr>
        <w:t>hogy a közbeszerzési eljárás során az egy vállalkozáscsoportba (Homlok csoport) tartozó Homlok Kft. és Homlok Zrt., illetve az Inter Mobility Kft. összejátszottak abból a célból, hogy elősegítsék a Homlok Kft. tendernyertességét az érintett közbeszerzésen.</w:t>
      </w:r>
    </w:p>
    <w:p w14:paraId="6098B687" w14:textId="705DEAF0" w:rsidR="00A4656C" w:rsidRPr="001B5297" w:rsidRDefault="00B7426F" w:rsidP="00A40458">
      <w:pPr>
        <w:spacing w:after="80" w:line="252" w:lineRule="auto"/>
      </w:pPr>
      <w:r>
        <w:t>A</w:t>
      </w:r>
      <w:r w:rsidR="00FB6CDD">
        <w:t xml:space="preserve"> </w:t>
      </w:r>
      <w:r w:rsidR="00A4656C" w:rsidRPr="00A14A9C">
        <w:t>vállalkozások</w:t>
      </w:r>
      <w:r w:rsidR="00A4656C">
        <w:t xml:space="preserve"> megállapodtak abban, hogy egymásra tekintettel olyan ajánlatot adnak, hogy közülük kerüljön</w:t>
      </w:r>
      <w:r w:rsidR="00A40458">
        <w:t xml:space="preserve"> ki</w:t>
      </w:r>
      <w:r w:rsidR="00A4656C">
        <w:t xml:space="preserve"> a nyertes ajánlattevő. A megállapodás alapján az érintett cégek </w:t>
      </w:r>
      <w:r w:rsidR="00A4656C" w:rsidRPr="00A14A9C">
        <w:t xml:space="preserve">már ajánlattétel előtt </w:t>
      </w:r>
      <w:r w:rsidR="00A4656C">
        <w:t>egyeztették</w:t>
      </w:r>
      <w:r w:rsidR="00A4656C" w:rsidRPr="00A14A9C">
        <w:t xml:space="preserve"> egymással az ajánlati árszintjeiket, illetve a pályázati anyagokat mind</w:t>
      </w:r>
      <w:r w:rsidR="00A4656C">
        <w:t>két (elvileg versenytársként induló)</w:t>
      </w:r>
      <w:r w:rsidR="00A4656C" w:rsidRPr="00A14A9C">
        <w:t xml:space="preserve"> vállalkozás részére a</w:t>
      </w:r>
      <w:r w:rsidR="00A4656C">
        <w:t xml:space="preserve"> Homlok csoport közvetlen irányítása alatt álló közbeszerzési tanácsadó cég készítette</w:t>
      </w:r>
      <w:r w:rsidR="00FB6CDD">
        <w:t xml:space="preserve"> el</w:t>
      </w:r>
      <w:r w:rsidR="00A4656C">
        <w:t>. Továbbá</w:t>
      </w:r>
      <w:r>
        <w:t>,</w:t>
      </w:r>
      <w:r w:rsidR="00A4656C">
        <w:t xml:space="preserve"> a beadott költségvetés</w:t>
      </w:r>
      <w:r w:rsidR="00FB6CDD">
        <w:t>eket</w:t>
      </w:r>
      <w:r w:rsidR="00A4656C">
        <w:t xml:space="preserve"> is a Homlok csoport munkavállalója készítette mindkét pályázó részére</w:t>
      </w:r>
      <w:r w:rsidR="00A4656C" w:rsidRPr="00A14A9C">
        <w:t>. A közbeszerzési eljárás</w:t>
      </w:r>
      <w:r w:rsidR="00A4656C">
        <w:t xml:space="preserve"> </w:t>
      </w:r>
      <w:r w:rsidR="00A4656C" w:rsidRPr="00A14A9C">
        <w:t xml:space="preserve">során </w:t>
      </w:r>
      <w:r w:rsidR="00A4656C">
        <w:t>az ajánlattételt követően</w:t>
      </w:r>
      <w:r w:rsidR="00A4656C" w:rsidRPr="00A14A9C">
        <w:t xml:space="preserve"> is fennmaradt</w:t>
      </w:r>
      <w:r w:rsidR="0080630D">
        <w:t xml:space="preserve"> a szoros együttműködés</w:t>
      </w:r>
      <w:r w:rsidR="00A4656C" w:rsidRPr="00A14A9C">
        <w:t xml:space="preserve"> </w:t>
      </w:r>
      <w:r w:rsidR="00A4656C">
        <w:t>az érintett cégek</w:t>
      </w:r>
      <w:r w:rsidR="00A4656C" w:rsidRPr="00A14A9C">
        <w:t xml:space="preserve"> között, a vállalkozások eljárási cselekményeiket koordinálták egymással</w:t>
      </w:r>
      <w:r w:rsidR="00A4656C">
        <w:t>, a Homlok csoport munkavállalói</w:t>
      </w:r>
      <w:r w:rsidR="0080630D">
        <w:t xml:space="preserve"> pedig</w:t>
      </w:r>
      <w:r w:rsidR="00A4656C">
        <w:t xml:space="preserve"> közreműködtek az Inter Mobility ajánlatának támogatásában</w:t>
      </w:r>
      <w:r w:rsidR="00A4656C" w:rsidRPr="00A14A9C">
        <w:t>.</w:t>
      </w:r>
    </w:p>
    <w:p w14:paraId="5D9F4790" w14:textId="3FF9A890" w:rsidR="00A4656C" w:rsidRDefault="00A4656C" w:rsidP="005D5612">
      <w:pPr>
        <w:spacing w:after="80" w:line="252" w:lineRule="auto"/>
      </w:pPr>
      <w:r w:rsidRPr="00D01E96">
        <w:rPr>
          <w:b/>
          <w:bCs/>
        </w:rPr>
        <w:t xml:space="preserve">Az ügyben a GVH Versenytanácsa a jogsértésben részt vett Homlok Kft.-re és Homlok Zrt-re </w:t>
      </w:r>
      <w:r w:rsidR="0080630D" w:rsidRPr="00D01E96">
        <w:rPr>
          <w:b/>
          <w:bCs/>
        </w:rPr>
        <w:t>összesen</w:t>
      </w:r>
      <w:r w:rsidRPr="00D01E96">
        <w:rPr>
          <w:b/>
          <w:bCs/>
        </w:rPr>
        <w:t xml:space="preserve"> 1,2 milliárd forint bírságot szabott ki.</w:t>
      </w:r>
      <w:r w:rsidRPr="001B5297">
        <w:t xml:space="preserve"> Ennek oka elsősorban az</w:t>
      </w:r>
      <w:r w:rsidRPr="00966984">
        <w:t>, hogy a</w:t>
      </w:r>
      <w:r>
        <w:t xml:space="preserve">z érintett közbeszerzés nagy – összesen </w:t>
      </w:r>
      <w:r w:rsidR="00264183">
        <w:t>több tíz</w:t>
      </w:r>
      <w:r>
        <w:t>milliárd forint – értékű volt, illetve a Homlok Csoport előző évi nettó árbevétele is nagy volt</w:t>
      </w:r>
      <w:r w:rsidR="0080630D">
        <w:t>.</w:t>
      </w:r>
    </w:p>
    <w:p w14:paraId="567CDD25" w14:textId="358D3BE0" w:rsidR="0080630D" w:rsidRDefault="0080630D" w:rsidP="005D5612">
      <w:pPr>
        <w:spacing w:after="80" w:line="252" w:lineRule="auto"/>
      </w:pPr>
      <w:r>
        <w:t xml:space="preserve">A Homlok Csoport </w:t>
      </w:r>
      <w:r w:rsidRPr="0080630D">
        <w:t>a versenyfelügyeleti eljárás során</w:t>
      </w:r>
      <w:r>
        <w:t xml:space="preserve"> </w:t>
      </w:r>
      <w:r w:rsidRPr="0080630D">
        <w:t xml:space="preserve">nem védekezett, az iratokba </w:t>
      </w:r>
      <w:r w:rsidR="00B7426F">
        <w:t>n</w:t>
      </w:r>
      <w:r w:rsidRPr="0080630D">
        <w:t xml:space="preserve">em tekintett be, viszont többször halasztást kért észrevételek benyújtására, melyet aztán nem </w:t>
      </w:r>
      <w:r w:rsidR="00B7426F">
        <w:t>teljesített</w:t>
      </w:r>
      <w:r w:rsidRPr="0080630D">
        <w:t xml:space="preserve"> sem az általa kért határidőn belül, sem azt követően. Ezen túl</w:t>
      </w:r>
      <w:r w:rsidR="00B7426F">
        <w:t>menően,</w:t>
      </w:r>
      <w:r w:rsidRPr="0080630D">
        <w:t xml:space="preserve"> a tárgyalás halasztását kér</w:t>
      </w:r>
      <w:r w:rsidR="00B7426F">
        <w:t>elmez</w:t>
      </w:r>
      <w:r w:rsidRPr="0080630D">
        <w:t>te, melyet első alkalommal</w:t>
      </w:r>
      <w:r>
        <w:t xml:space="preserve"> a GVH Versenytanácsa</w:t>
      </w:r>
      <w:r w:rsidRPr="0080630D">
        <w:t xml:space="preserve"> engedélyez</w:t>
      </w:r>
      <w:r>
        <w:t>ett</w:t>
      </w:r>
      <w:r w:rsidRPr="0080630D">
        <w:t>,</w:t>
      </w:r>
      <w:r>
        <w:t xml:space="preserve"> ugyanakkor</w:t>
      </w:r>
      <w:r w:rsidRPr="0080630D">
        <w:t xml:space="preserve"> ezt követően a kérésére elhalasztott tárgyalást </w:t>
      </w:r>
      <w:r>
        <w:t>ismét</w:t>
      </w:r>
      <w:r w:rsidRPr="0080630D">
        <w:t xml:space="preserve"> halasztani kérte egy, a tárgyalási napot megelőző nap délutánján benyújtott kérelemmel. </w:t>
      </w:r>
      <w:r w:rsidR="00B7426F">
        <w:t>Ennek alapján</w:t>
      </w:r>
      <w:r w:rsidRPr="0080630D">
        <w:t xml:space="preserve"> </w:t>
      </w:r>
      <w:r w:rsidR="00B7426F">
        <w:t>e</w:t>
      </w:r>
      <w:r w:rsidRPr="0080630D">
        <w:t>gyértelmű</w:t>
      </w:r>
      <w:r>
        <w:t>vé vált</w:t>
      </w:r>
      <w:r w:rsidRPr="0080630D">
        <w:t xml:space="preserve">, hogy a cég magatartása a GVH eljárásának késleltetésére irányult, illetve </w:t>
      </w:r>
      <w:r w:rsidR="00B7426F">
        <w:t>ezzel az eredménnyel járt</w:t>
      </w:r>
      <w:r w:rsidRPr="0080630D">
        <w:t>, ezért a GVH Versenytanácsa további 25 millió forint eljárási bírságot is kiszabott a Homlok Csoport cég</w:t>
      </w:r>
      <w:r>
        <w:t>eire.</w:t>
      </w:r>
    </w:p>
    <w:p w14:paraId="3735C835" w14:textId="4B378166" w:rsidR="0080630D" w:rsidRDefault="00A4656C" w:rsidP="005D5612">
      <w:pPr>
        <w:spacing w:after="80" w:line="252" w:lineRule="auto"/>
      </w:pPr>
      <w:r>
        <w:t>Az ügy</w:t>
      </w:r>
      <w:r w:rsidR="0080630D">
        <w:t xml:space="preserve"> másik</w:t>
      </w:r>
      <w:r>
        <w:t xml:space="preserve"> érintettje, az Inter Mobility Kft. – amelynek jóval alacsonyabb volt az előző évi nettó árbevétele – az eljárás során együttműködött a Gazdasági Versenyhivatallal. A</w:t>
      </w:r>
      <w:r w:rsidRPr="00D2058A">
        <w:t xml:space="preserve"> cég engedékenységi kérelmet nyújtott be</w:t>
      </w:r>
      <w:r>
        <w:t>,</w:t>
      </w:r>
      <w:r w:rsidRPr="00D2058A">
        <w:t xml:space="preserve"> melyet a GVH Versenytanácsa elfogadott</w:t>
      </w:r>
      <w:r>
        <w:t>, illetve</w:t>
      </w:r>
      <w:r w:rsidRPr="00D2058A">
        <w:t xml:space="preserve"> egyezségi eljárásban </w:t>
      </w:r>
      <w:r w:rsidR="00B7426F">
        <w:t>vett</w:t>
      </w:r>
      <w:r w:rsidRPr="00D2058A">
        <w:t xml:space="preserve"> részt</w:t>
      </w:r>
      <w:r>
        <w:t>, továbbá megfelelési program bevezetését vállalta.</w:t>
      </w:r>
      <w:r w:rsidR="0080630D">
        <w:t xml:space="preserve"> </w:t>
      </w:r>
      <w:r>
        <w:t>Mindezek</w:t>
      </w:r>
      <w:r w:rsidRPr="00D2058A">
        <w:t xml:space="preserve"> eredményeképpen a</w:t>
      </w:r>
      <w:r>
        <w:t xml:space="preserve"> GVH Versenytanácsa</w:t>
      </w:r>
      <w:r w:rsidR="0080630D">
        <w:t xml:space="preserve"> </w:t>
      </w:r>
      <w:r w:rsidR="00485B7C">
        <w:lastRenderedPageBreak/>
        <w:t>jelentősen</w:t>
      </w:r>
      <w:r>
        <w:t xml:space="preserve"> csökkentette a cégre</w:t>
      </w:r>
      <w:r w:rsidRPr="00D2058A">
        <w:t xml:space="preserve"> kiszabható bírságösszeget</w:t>
      </w:r>
      <w:r>
        <w:t>, így az Inter Mobility Kft. 30 millió forint bírságot kell befizessen a központi költségvetésbe.</w:t>
      </w:r>
      <w:r w:rsidR="0080630D">
        <w:t xml:space="preserve"> </w:t>
      </w:r>
      <w:r w:rsidR="00B7426F">
        <w:t>Ez</w:t>
      </w:r>
      <w:r w:rsidR="0080630D">
        <w:t xml:space="preserve"> jól mutatja, hogy az eljárás alá vont cégeknek megéri együttműködni a GVH-val.</w:t>
      </w:r>
    </w:p>
    <w:p w14:paraId="41D2C5C2" w14:textId="48FD4466" w:rsidR="00CE3213" w:rsidRPr="0080630D" w:rsidRDefault="00CE3213" w:rsidP="005D5612">
      <w:pPr>
        <w:spacing w:after="80" w:line="252" w:lineRule="auto"/>
      </w:pPr>
      <w:r w:rsidRPr="00CE3213">
        <w:rPr>
          <w:bCs/>
        </w:rPr>
        <w:t>A közbeszerzési, illetve hasonló versenyeztetési eljárásokkal összefüggő versenykorlátozások a legsúlyosabb versenyjogi jogsértésnek számítanak, melyek bizonyos esetben akár büntetőjogi következményekkel is járhatnak. A nemzeti versenyhatóság ezért kiemelten kezeli a közbeszerzési kartellek felszámolását. Egy kartellben nem a verseny, hanem a vállalkozások közötti megállapodás alapján dől el, hogy ki nyerheti meg az adott kiírást. Ez jellemzően az árak emelkedését is eredményezi.</w:t>
      </w:r>
    </w:p>
    <w:p w14:paraId="5435FD46" w14:textId="5B72FBD8" w:rsidR="00DB4838" w:rsidRDefault="00DB4838" w:rsidP="005D5612">
      <w:pPr>
        <w:tabs>
          <w:tab w:val="left" w:pos="567"/>
        </w:tabs>
        <w:spacing w:after="80" w:line="252" w:lineRule="auto"/>
        <w:rPr>
          <w:bCs/>
        </w:rPr>
      </w:pPr>
      <w:r>
        <w:rPr>
          <w:bCs/>
        </w:rPr>
        <w:t>A Gazdasági Versenyhivatal több kartellt is feltárt az elmúlt években. Ilyen</w:t>
      </w:r>
      <w:r w:rsidR="00B67EF9">
        <w:rPr>
          <w:bCs/>
        </w:rPr>
        <w:t>ek</w:t>
      </w:r>
      <w:r>
        <w:rPr>
          <w:bCs/>
        </w:rPr>
        <w:t xml:space="preserve"> voltak például </w:t>
      </w:r>
      <w:r w:rsidR="00B67EF9">
        <w:rPr>
          <w:bCs/>
        </w:rPr>
        <w:t xml:space="preserve">2023-ban </w:t>
      </w:r>
      <w:r>
        <w:rPr>
          <w:bCs/>
        </w:rPr>
        <w:t xml:space="preserve">a </w:t>
      </w:r>
      <w:hyperlink r:id="rId8" w:history="1">
        <w:r w:rsidRPr="00B67EF9">
          <w:rPr>
            <w:rStyle w:val="Hiperhivatkozs"/>
            <w:bCs/>
          </w:rPr>
          <w:t>dunai hajós cégek</w:t>
        </w:r>
      </w:hyperlink>
      <w:r>
        <w:rPr>
          <w:bCs/>
        </w:rPr>
        <w:t>,</w:t>
      </w:r>
      <w:r w:rsidR="00B67EF9">
        <w:rPr>
          <w:bCs/>
        </w:rPr>
        <w:t xml:space="preserve"> illetve</w:t>
      </w:r>
      <w:r>
        <w:rPr>
          <w:bCs/>
        </w:rPr>
        <w:t xml:space="preserve"> </w:t>
      </w:r>
      <w:hyperlink r:id="rId9" w:history="1">
        <w:r w:rsidR="00B67EF9" w:rsidRPr="00B67EF9">
          <w:rPr>
            <w:rStyle w:val="Hiperhivatkozs"/>
            <w:bCs/>
          </w:rPr>
          <w:t>az útfestéssel és közúti táblázással foglalkozó cégek</w:t>
        </w:r>
      </w:hyperlink>
      <w:r w:rsidR="00031DFD">
        <w:rPr>
          <w:bCs/>
        </w:rPr>
        <w:t xml:space="preserve"> közötti kartellek,</w:t>
      </w:r>
      <w:r w:rsidR="00B67EF9">
        <w:rPr>
          <w:bCs/>
        </w:rPr>
        <w:t xml:space="preserve"> vagy 2024-ben </w:t>
      </w:r>
      <w:hyperlink r:id="rId10" w:history="1">
        <w:r w:rsidRPr="00B67EF9">
          <w:rPr>
            <w:rStyle w:val="Hiperhivatkozs"/>
            <w:bCs/>
          </w:rPr>
          <w:t>a</w:t>
        </w:r>
        <w:r w:rsidR="00B67EF9" w:rsidRPr="00B67EF9">
          <w:rPr>
            <w:rStyle w:val="Hiperhivatkozs"/>
            <w:bCs/>
          </w:rPr>
          <w:t>z</w:t>
        </w:r>
        <w:r w:rsidRPr="00B67EF9">
          <w:rPr>
            <w:rStyle w:val="Hiperhivatkozs"/>
            <w:bCs/>
          </w:rPr>
          <w:t xml:space="preserve"> </w:t>
        </w:r>
        <w:r w:rsidR="00B67EF9" w:rsidRPr="00B67EF9">
          <w:rPr>
            <w:rStyle w:val="Hiperhivatkozs"/>
            <w:bCs/>
          </w:rPr>
          <w:t>út</w:t>
        </w:r>
        <w:r w:rsidRPr="00B67EF9">
          <w:rPr>
            <w:rStyle w:val="Hiperhivatkozs"/>
            <w:bCs/>
          </w:rPr>
          <w:t>szóró</w:t>
        </w:r>
        <w:r w:rsidR="00B67EF9" w:rsidRPr="00B67EF9">
          <w:rPr>
            <w:rStyle w:val="Hiperhivatkozs"/>
            <w:bCs/>
          </w:rPr>
          <w:t xml:space="preserve"> sót forgalmazó</w:t>
        </w:r>
        <w:r w:rsidRPr="00B67EF9">
          <w:rPr>
            <w:rStyle w:val="Hiperhivatkozs"/>
            <w:bCs/>
          </w:rPr>
          <w:t xml:space="preserve"> vállalkozások</w:t>
        </w:r>
      </w:hyperlink>
      <w:r w:rsidR="00B67EF9">
        <w:rPr>
          <w:bCs/>
        </w:rPr>
        <w:t xml:space="preserve"> között fel</w:t>
      </w:r>
      <w:r w:rsidR="00264183">
        <w:rPr>
          <w:bCs/>
        </w:rPr>
        <w:t>t</w:t>
      </w:r>
      <w:r w:rsidR="00B67EF9">
        <w:rPr>
          <w:bCs/>
        </w:rPr>
        <w:t>árt kartell.</w:t>
      </w:r>
      <w:r w:rsidR="0080630D">
        <w:rPr>
          <w:bCs/>
        </w:rPr>
        <w:t xml:space="preserve"> </w:t>
      </w:r>
      <w:r w:rsidR="00B67EF9">
        <w:rPr>
          <w:bCs/>
        </w:rPr>
        <w:t>Mindemellett több hasonló kartelleljárás van folyamatban jelenleg is a nemzeti versenyhatóságnál.</w:t>
      </w:r>
    </w:p>
    <w:p w14:paraId="6534746B" w14:textId="77777777" w:rsidR="00D86904" w:rsidRPr="00DB4838" w:rsidRDefault="00D86904" w:rsidP="005D5612">
      <w:pPr>
        <w:tabs>
          <w:tab w:val="left" w:pos="567"/>
        </w:tabs>
        <w:spacing w:after="80" w:line="252" w:lineRule="auto"/>
        <w:rPr>
          <w:bCs/>
        </w:rPr>
      </w:pPr>
    </w:p>
    <w:p w14:paraId="16D12E9F" w14:textId="28631CBE" w:rsidR="004328EC" w:rsidRDefault="00F078BC" w:rsidP="005D5612">
      <w:pPr>
        <w:spacing w:after="80" w:line="252" w:lineRule="auto"/>
      </w:pPr>
      <w:r w:rsidRPr="002B7232">
        <w:t>Az ügy hivatali nyilvántartási száma:</w:t>
      </w:r>
      <w:r w:rsidR="0080630D" w:rsidRPr="0080630D">
        <w:t xml:space="preserve"> </w:t>
      </w:r>
      <w:r w:rsidR="0080630D" w:rsidRPr="00D86904">
        <w:rPr>
          <w:b/>
          <w:bCs/>
        </w:rPr>
        <w:t>VJ/36/2022.</w:t>
      </w:r>
    </w:p>
    <w:p w14:paraId="7D525FC4" w14:textId="77777777" w:rsidR="00D86904" w:rsidRPr="00A60790" w:rsidRDefault="00D86904" w:rsidP="005D5612">
      <w:pPr>
        <w:spacing w:after="80" w:line="252" w:lineRule="auto"/>
      </w:pPr>
    </w:p>
    <w:p w14:paraId="46B5F357" w14:textId="59F89377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0630D">
      <w:footerReference w:type="default" r:id="rId11"/>
      <w:headerReference w:type="first" r:id="rId12"/>
      <w:footerReference w:type="first" r:id="rId13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A19E" w14:textId="77777777" w:rsidR="00E306C5" w:rsidRDefault="00E306C5">
      <w:pPr>
        <w:spacing w:after="0" w:line="240" w:lineRule="auto"/>
      </w:pPr>
      <w:r>
        <w:separator/>
      </w:r>
    </w:p>
  </w:endnote>
  <w:endnote w:type="continuationSeparator" w:id="0">
    <w:p w14:paraId="53A12B96" w14:textId="77777777" w:rsidR="00E306C5" w:rsidRDefault="00E3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CAFE" w14:textId="77777777" w:rsidR="00E306C5" w:rsidRDefault="00E306C5">
      <w:pPr>
        <w:spacing w:after="0" w:line="240" w:lineRule="auto"/>
      </w:pPr>
      <w:r>
        <w:separator/>
      </w:r>
    </w:p>
  </w:footnote>
  <w:footnote w:type="continuationSeparator" w:id="0">
    <w:p w14:paraId="08A762DA" w14:textId="77777777" w:rsidR="00E306C5" w:rsidRDefault="00E3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503E"/>
    <w:multiLevelType w:val="hybridMultilevel"/>
    <w:tmpl w:val="ABA202DE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7714B"/>
    <w:multiLevelType w:val="hybridMultilevel"/>
    <w:tmpl w:val="CC267E7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4E8D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FFFFFFFF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5B20FCE"/>
    <w:multiLevelType w:val="hybridMultilevel"/>
    <w:tmpl w:val="2E1A2024"/>
    <w:lvl w:ilvl="0" w:tplc="8F3680BE">
      <w:start w:val="1"/>
      <w:numFmt w:val="decimal"/>
      <w:pStyle w:val="Stlu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B58667CE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D2ACCDAA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07A7979"/>
    <w:multiLevelType w:val="hybridMultilevel"/>
    <w:tmpl w:val="F222A650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7D79"/>
    <w:multiLevelType w:val="hybridMultilevel"/>
    <w:tmpl w:val="A832362A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687490448">
    <w:abstractNumId w:val="3"/>
  </w:num>
  <w:num w:numId="2" w16cid:durableId="1899393244">
    <w:abstractNumId w:val="0"/>
  </w:num>
  <w:num w:numId="3" w16cid:durableId="1253709111">
    <w:abstractNumId w:val="2"/>
  </w:num>
  <w:num w:numId="4" w16cid:durableId="558174405">
    <w:abstractNumId w:val="1"/>
  </w:num>
  <w:num w:numId="5" w16cid:durableId="801268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41A6"/>
    <w:rsid w:val="00011AF6"/>
    <w:rsid w:val="0002677C"/>
    <w:rsid w:val="00031DFD"/>
    <w:rsid w:val="00053FAF"/>
    <w:rsid w:val="00055453"/>
    <w:rsid w:val="00057D8B"/>
    <w:rsid w:val="00083476"/>
    <w:rsid w:val="0009552C"/>
    <w:rsid w:val="000C11C5"/>
    <w:rsid w:val="000C16F7"/>
    <w:rsid w:val="000C195B"/>
    <w:rsid w:val="000D02B9"/>
    <w:rsid w:val="000F5A59"/>
    <w:rsid w:val="000F67F0"/>
    <w:rsid w:val="001215EE"/>
    <w:rsid w:val="00132E77"/>
    <w:rsid w:val="001407FC"/>
    <w:rsid w:val="001431B4"/>
    <w:rsid w:val="00167BF7"/>
    <w:rsid w:val="001A2273"/>
    <w:rsid w:val="001A31BE"/>
    <w:rsid w:val="001B7AA9"/>
    <w:rsid w:val="001C7C4E"/>
    <w:rsid w:val="001E0718"/>
    <w:rsid w:val="00202D48"/>
    <w:rsid w:val="00206DF4"/>
    <w:rsid w:val="002456AB"/>
    <w:rsid w:val="002513CC"/>
    <w:rsid w:val="002574F3"/>
    <w:rsid w:val="00264183"/>
    <w:rsid w:val="00274661"/>
    <w:rsid w:val="00296DAA"/>
    <w:rsid w:val="002A0E05"/>
    <w:rsid w:val="002A426E"/>
    <w:rsid w:val="002A4F48"/>
    <w:rsid w:val="002A5C8B"/>
    <w:rsid w:val="002D7A9E"/>
    <w:rsid w:val="002E0749"/>
    <w:rsid w:val="00305557"/>
    <w:rsid w:val="00331DA9"/>
    <w:rsid w:val="00361831"/>
    <w:rsid w:val="00370F1F"/>
    <w:rsid w:val="003C4354"/>
    <w:rsid w:val="003C51E4"/>
    <w:rsid w:val="003D38C6"/>
    <w:rsid w:val="003D7552"/>
    <w:rsid w:val="003E675C"/>
    <w:rsid w:val="003F10DE"/>
    <w:rsid w:val="0040671E"/>
    <w:rsid w:val="00424B8A"/>
    <w:rsid w:val="00430D05"/>
    <w:rsid w:val="004328EC"/>
    <w:rsid w:val="00432E09"/>
    <w:rsid w:val="004413B5"/>
    <w:rsid w:val="00463C33"/>
    <w:rsid w:val="00485B7C"/>
    <w:rsid w:val="00491BFC"/>
    <w:rsid w:val="004B3DBB"/>
    <w:rsid w:val="004C2D30"/>
    <w:rsid w:val="004C64BF"/>
    <w:rsid w:val="004F5789"/>
    <w:rsid w:val="00545903"/>
    <w:rsid w:val="005566B7"/>
    <w:rsid w:val="00595361"/>
    <w:rsid w:val="005A1B06"/>
    <w:rsid w:val="005A384B"/>
    <w:rsid w:val="005A4856"/>
    <w:rsid w:val="005B31C0"/>
    <w:rsid w:val="005D5612"/>
    <w:rsid w:val="005E13E7"/>
    <w:rsid w:val="005E7373"/>
    <w:rsid w:val="00617061"/>
    <w:rsid w:val="00626E97"/>
    <w:rsid w:val="006368CF"/>
    <w:rsid w:val="00662D35"/>
    <w:rsid w:val="00674402"/>
    <w:rsid w:val="006B1F51"/>
    <w:rsid w:val="006B4B0A"/>
    <w:rsid w:val="006B5E56"/>
    <w:rsid w:val="006E0D5A"/>
    <w:rsid w:val="006F4B6A"/>
    <w:rsid w:val="006F5A28"/>
    <w:rsid w:val="0071620B"/>
    <w:rsid w:val="0072038E"/>
    <w:rsid w:val="00721117"/>
    <w:rsid w:val="00721F53"/>
    <w:rsid w:val="00736F52"/>
    <w:rsid w:val="0073744B"/>
    <w:rsid w:val="0074016E"/>
    <w:rsid w:val="00756B86"/>
    <w:rsid w:val="00781F02"/>
    <w:rsid w:val="007954CC"/>
    <w:rsid w:val="007B038C"/>
    <w:rsid w:val="007C02EC"/>
    <w:rsid w:val="007C6DFA"/>
    <w:rsid w:val="0080630D"/>
    <w:rsid w:val="00811EE1"/>
    <w:rsid w:val="00825A2A"/>
    <w:rsid w:val="008302EE"/>
    <w:rsid w:val="00832B9F"/>
    <w:rsid w:val="00835934"/>
    <w:rsid w:val="00875A6D"/>
    <w:rsid w:val="0087664C"/>
    <w:rsid w:val="008872CD"/>
    <w:rsid w:val="008927DB"/>
    <w:rsid w:val="008C44CC"/>
    <w:rsid w:val="00904062"/>
    <w:rsid w:val="00905BBD"/>
    <w:rsid w:val="00933AD1"/>
    <w:rsid w:val="0094208B"/>
    <w:rsid w:val="00944F46"/>
    <w:rsid w:val="00947868"/>
    <w:rsid w:val="00956CBA"/>
    <w:rsid w:val="00981556"/>
    <w:rsid w:val="009A5DE8"/>
    <w:rsid w:val="009C2511"/>
    <w:rsid w:val="009C378E"/>
    <w:rsid w:val="009D5FBA"/>
    <w:rsid w:val="009F6C0F"/>
    <w:rsid w:val="00A40458"/>
    <w:rsid w:val="00A431F4"/>
    <w:rsid w:val="00A444F7"/>
    <w:rsid w:val="00A4656C"/>
    <w:rsid w:val="00A5193E"/>
    <w:rsid w:val="00A577FC"/>
    <w:rsid w:val="00A60790"/>
    <w:rsid w:val="00A715B2"/>
    <w:rsid w:val="00A87089"/>
    <w:rsid w:val="00A87DC9"/>
    <w:rsid w:val="00A96E66"/>
    <w:rsid w:val="00AA1A83"/>
    <w:rsid w:val="00AB23A7"/>
    <w:rsid w:val="00AF57BF"/>
    <w:rsid w:val="00B210A8"/>
    <w:rsid w:val="00B3547C"/>
    <w:rsid w:val="00B44630"/>
    <w:rsid w:val="00B5060B"/>
    <w:rsid w:val="00B6413F"/>
    <w:rsid w:val="00B67EF9"/>
    <w:rsid w:val="00B7426F"/>
    <w:rsid w:val="00B85494"/>
    <w:rsid w:val="00BB5669"/>
    <w:rsid w:val="00BC4099"/>
    <w:rsid w:val="00C561AA"/>
    <w:rsid w:val="00C72051"/>
    <w:rsid w:val="00C72C9D"/>
    <w:rsid w:val="00C87708"/>
    <w:rsid w:val="00CA2EBA"/>
    <w:rsid w:val="00CB0005"/>
    <w:rsid w:val="00CB142A"/>
    <w:rsid w:val="00CD63D8"/>
    <w:rsid w:val="00CD7069"/>
    <w:rsid w:val="00CE3213"/>
    <w:rsid w:val="00D00DA5"/>
    <w:rsid w:val="00D01E96"/>
    <w:rsid w:val="00D213C7"/>
    <w:rsid w:val="00D31443"/>
    <w:rsid w:val="00D43A62"/>
    <w:rsid w:val="00D800AE"/>
    <w:rsid w:val="00D86904"/>
    <w:rsid w:val="00DB3DAF"/>
    <w:rsid w:val="00DB4838"/>
    <w:rsid w:val="00DB780D"/>
    <w:rsid w:val="00DF35CB"/>
    <w:rsid w:val="00DF461C"/>
    <w:rsid w:val="00E04BCF"/>
    <w:rsid w:val="00E306C5"/>
    <w:rsid w:val="00E33ACD"/>
    <w:rsid w:val="00E45607"/>
    <w:rsid w:val="00E45E74"/>
    <w:rsid w:val="00E665BD"/>
    <w:rsid w:val="00EC4637"/>
    <w:rsid w:val="00ED7C29"/>
    <w:rsid w:val="00EE08F1"/>
    <w:rsid w:val="00EE0B58"/>
    <w:rsid w:val="00EE2BC8"/>
    <w:rsid w:val="00F078BC"/>
    <w:rsid w:val="00F13997"/>
    <w:rsid w:val="00F22CD6"/>
    <w:rsid w:val="00F261FE"/>
    <w:rsid w:val="00F46BEA"/>
    <w:rsid w:val="00F67C62"/>
    <w:rsid w:val="00F77CA3"/>
    <w:rsid w:val="00F833A1"/>
    <w:rsid w:val="00F96ED4"/>
    <w:rsid w:val="00FA1F0A"/>
    <w:rsid w:val="00FB6CDD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6E0D5A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6E0D5A"/>
  </w:style>
  <w:style w:type="paragraph" w:styleId="Szvegtrzs">
    <w:name w:val="Body Text"/>
    <w:aliases w:val="b,Idézet text,Main text, Char,Char,bt,W_Szövegtörzs,Textkörper,Corps de texte ENV,BT,Body,by,body indent,DEB Body Text,Body Text"/>
    <w:basedOn w:val="Norml"/>
    <w:link w:val="SzvegtrzsChar"/>
    <w:uiPriority w:val="99"/>
    <w:unhideWhenUsed/>
    <w:rsid w:val="00305557"/>
    <w:pPr>
      <w:spacing w:after="120"/>
    </w:pPr>
    <w:rPr>
      <w:rFonts w:eastAsia="Calibri"/>
      <w:szCs w:val="22"/>
      <w:lang w:eastAsia="en-US"/>
    </w:rPr>
  </w:style>
  <w:style w:type="character" w:customStyle="1" w:styleId="SzvegtrzsChar">
    <w:name w:val="Szövegtörzs Char"/>
    <w:aliases w:val="b Char,Idézet text Char,Main text Char, Char Char,Char Char,bt Char,W_Szövegtörzs Char,Textkörper Char,Corps de texte ENV Char,BT Char,Body Char,by Char,body indent Char,DEB Body Text Char,Body Text Char"/>
    <w:basedOn w:val="Bekezdsalapbettpusa"/>
    <w:link w:val="Szvegtrzs"/>
    <w:uiPriority w:val="99"/>
    <w:rsid w:val="00305557"/>
    <w:rPr>
      <w:rFonts w:ascii="Times New Roman" w:eastAsia="Calibri" w:hAnsi="Times New Roman" w:cs="Times New Roman"/>
      <w:sz w:val="24"/>
    </w:rPr>
  </w:style>
  <w:style w:type="paragraph" w:customStyle="1" w:styleId="Stlus2">
    <w:name w:val="Stílus2"/>
    <w:basedOn w:val="Listaszerbekezds"/>
    <w:qFormat/>
    <w:rsid w:val="00305557"/>
    <w:pPr>
      <w:numPr>
        <w:numId w:val="3"/>
      </w:numPr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kozbeszerzesi-kartellt-tart-fel-a-gvh-a-dunai-hajoscegek-kozot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4-es-sajtokozlemenyek/megcsusztak-a-kartellezo-soszoro-cegek-400-millios-birsagot-kaptak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az-orszag-egeszet-erinto-kozuti-kartellt-tart-fel-a-gvh---kozel-300-millios-birsag-lett-a-vege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2024-12-13T13:11:00Z</dcterms:created>
  <dcterms:modified xsi:type="dcterms:W3CDTF">2024-12-13T13:15:00Z</dcterms:modified>
</cp:coreProperties>
</file>