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201C" w14:textId="22958BA7" w:rsidR="006A3D41" w:rsidRDefault="00772285" w:rsidP="002D654E">
      <w:pPr>
        <w:tabs>
          <w:tab w:val="left" w:pos="567"/>
        </w:tabs>
        <w:spacing w:after="12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Alaposan meg</w:t>
      </w:r>
      <w:r w:rsidR="0080239A">
        <w:rPr>
          <w:b/>
          <w:sz w:val="28"/>
          <w:szCs w:val="28"/>
        </w:rPr>
        <w:t>vizsgál</w:t>
      </w:r>
      <w:r>
        <w:rPr>
          <w:b/>
          <w:sz w:val="28"/>
          <w:szCs w:val="28"/>
        </w:rPr>
        <w:t>t</w:t>
      </w:r>
      <w:r w:rsidR="0080239A">
        <w:rPr>
          <w:b/>
          <w:sz w:val="28"/>
          <w:szCs w:val="28"/>
        </w:rPr>
        <w:t xml:space="preserve">a a GVH </w:t>
      </w:r>
      <w:r w:rsidR="00BC2557">
        <w:rPr>
          <w:b/>
          <w:sz w:val="28"/>
          <w:szCs w:val="28"/>
        </w:rPr>
        <w:t xml:space="preserve">az MVM </w:t>
      </w:r>
      <w:proofErr w:type="spellStart"/>
      <w:r w:rsidR="0080239A">
        <w:rPr>
          <w:b/>
          <w:sz w:val="28"/>
          <w:szCs w:val="28"/>
        </w:rPr>
        <w:t>Next</w:t>
      </w:r>
      <w:proofErr w:type="spellEnd"/>
      <w:r w:rsidR="0080239A">
        <w:rPr>
          <w:b/>
          <w:sz w:val="28"/>
          <w:szCs w:val="28"/>
        </w:rPr>
        <w:t xml:space="preserve"> </w:t>
      </w:r>
      <w:r w:rsidR="00BC2557">
        <w:rPr>
          <w:b/>
          <w:sz w:val="28"/>
          <w:szCs w:val="28"/>
        </w:rPr>
        <w:t>számlázási gyakorlatá</w:t>
      </w:r>
      <w:r w:rsidR="0080239A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, nem indokolt az eljárás folytatása</w:t>
      </w:r>
    </w:p>
    <w:p w14:paraId="05AA7F75" w14:textId="519A79C3" w:rsidR="006D7010" w:rsidRDefault="00361831" w:rsidP="002D654E">
      <w:pPr>
        <w:tabs>
          <w:tab w:val="left" w:pos="567"/>
        </w:tabs>
        <w:spacing w:after="120"/>
        <w:rPr>
          <w:b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6661F7">
        <w:rPr>
          <w:b/>
        </w:rPr>
        <w:t>november</w:t>
      </w:r>
      <w:r w:rsidR="001536CB">
        <w:rPr>
          <w:b/>
        </w:rPr>
        <w:t xml:space="preserve"> 6.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0"/>
      <w:r w:rsidR="005A0462">
        <w:rPr>
          <w:b/>
        </w:rPr>
        <w:t>Nem minősül kereskedelmi gyakorlatnak</w:t>
      </w:r>
      <w:r w:rsidR="0059770E">
        <w:rPr>
          <w:b/>
        </w:rPr>
        <w:t xml:space="preserve"> az </w:t>
      </w:r>
      <w:r w:rsidR="006D7010">
        <w:rPr>
          <w:b/>
        </w:rPr>
        <w:t>MVM</w:t>
      </w:r>
      <w:r w:rsidR="003306CA">
        <w:rPr>
          <w:b/>
        </w:rPr>
        <w:t xml:space="preserve"> </w:t>
      </w:r>
      <w:proofErr w:type="spellStart"/>
      <w:r w:rsidR="003306CA">
        <w:rPr>
          <w:b/>
        </w:rPr>
        <w:t>Next</w:t>
      </w:r>
      <w:proofErr w:type="spellEnd"/>
      <w:r w:rsidR="006D7010">
        <w:rPr>
          <w:b/>
        </w:rPr>
        <w:t xml:space="preserve"> </w:t>
      </w:r>
      <w:r w:rsidR="00B146E1">
        <w:rPr>
          <w:b/>
        </w:rPr>
        <w:t xml:space="preserve">Energiakereskedelmi Zrt. </w:t>
      </w:r>
      <w:r w:rsidR="00B867A7">
        <w:rPr>
          <w:b/>
        </w:rPr>
        <w:t xml:space="preserve">(MVM </w:t>
      </w:r>
      <w:proofErr w:type="spellStart"/>
      <w:r w:rsidR="00B867A7">
        <w:rPr>
          <w:b/>
        </w:rPr>
        <w:t>Next</w:t>
      </w:r>
      <w:proofErr w:type="spellEnd"/>
      <w:r w:rsidR="00B867A7">
        <w:rPr>
          <w:b/>
        </w:rPr>
        <w:t xml:space="preserve">) </w:t>
      </w:r>
      <w:r w:rsidR="00B146E1">
        <w:rPr>
          <w:b/>
        </w:rPr>
        <w:t>számlázási gyakorlat</w:t>
      </w:r>
      <w:r w:rsidR="005A0462">
        <w:rPr>
          <w:b/>
        </w:rPr>
        <w:t>a</w:t>
      </w:r>
      <w:r w:rsidR="0059770E">
        <w:rPr>
          <w:b/>
        </w:rPr>
        <w:t xml:space="preserve"> </w:t>
      </w:r>
      <w:r w:rsidR="006D7010">
        <w:rPr>
          <w:b/>
        </w:rPr>
        <w:t>– állapította meg a Gazdasági Versenyhivatal (GVH). Ebből következően a GVH megszüntette az úgynevezett „</w:t>
      </w:r>
      <w:proofErr w:type="spellStart"/>
      <w:proofErr w:type="gramStart"/>
      <w:r w:rsidR="006D7010">
        <w:rPr>
          <w:b/>
        </w:rPr>
        <w:t>rezsibox</w:t>
      </w:r>
      <w:proofErr w:type="spellEnd"/>
      <w:r w:rsidR="006D7010">
        <w:rPr>
          <w:b/>
        </w:rPr>
        <w:t>”</w:t>
      </w:r>
      <w:r w:rsidR="0059770E">
        <w:rPr>
          <w:b/>
        </w:rPr>
        <w:t>-</w:t>
      </w:r>
      <w:proofErr w:type="gramEnd"/>
      <w:r w:rsidR="006D7010">
        <w:rPr>
          <w:b/>
        </w:rPr>
        <w:t>ügyben</w:t>
      </w:r>
      <w:r w:rsidR="00772285">
        <w:rPr>
          <w:b/>
        </w:rPr>
        <w:t>,</w:t>
      </w:r>
      <w:r w:rsidR="006D7010">
        <w:rPr>
          <w:b/>
        </w:rPr>
        <w:t xml:space="preserve"> július elején indított versenyfelügyeleti eljárást. A nemzeti versenyhatóság egy évvel ezelőtt </w:t>
      </w:r>
      <w:r w:rsidR="002D654E">
        <w:rPr>
          <w:b/>
        </w:rPr>
        <w:t>hangsúlyozta</w:t>
      </w:r>
      <w:r w:rsidR="006D7010">
        <w:rPr>
          <w:b/>
        </w:rPr>
        <w:t xml:space="preserve">, hogy </w:t>
      </w:r>
      <w:r w:rsidR="0059770E">
        <w:rPr>
          <w:b/>
        </w:rPr>
        <w:t xml:space="preserve">az </w:t>
      </w:r>
      <w:r w:rsidR="006D7010">
        <w:rPr>
          <w:b/>
        </w:rPr>
        <w:t>ügyben nem áll</w:t>
      </w:r>
      <w:r w:rsidR="002D654E">
        <w:rPr>
          <w:b/>
        </w:rPr>
        <w:t>n</w:t>
      </w:r>
      <w:r w:rsidR="006D7010">
        <w:rPr>
          <w:b/>
        </w:rPr>
        <w:t>ak fenn a versenyfelügyeleti eljárás megindításának a feltételei</w:t>
      </w:r>
      <w:r w:rsidR="002D654E">
        <w:rPr>
          <w:b/>
        </w:rPr>
        <w:t>.</w:t>
      </w:r>
      <w:r w:rsidR="00772285">
        <w:rPr>
          <w:b/>
        </w:rPr>
        <w:t xml:space="preserve"> </w:t>
      </w:r>
      <w:r w:rsidR="002D654E">
        <w:rPr>
          <w:b/>
        </w:rPr>
        <w:t>A</w:t>
      </w:r>
      <w:r w:rsidR="00772285">
        <w:rPr>
          <w:b/>
        </w:rPr>
        <w:t xml:space="preserve"> bíróság döntése alapján ugyanakkor a GVH újra</w:t>
      </w:r>
      <w:r w:rsidR="00CE0E86">
        <w:rPr>
          <w:b/>
        </w:rPr>
        <w:t xml:space="preserve"> </w:t>
      </w:r>
      <w:r w:rsidR="00772285">
        <w:rPr>
          <w:b/>
        </w:rPr>
        <w:t>megvizsgált</w:t>
      </w:r>
      <w:r w:rsidR="00CE0E86">
        <w:rPr>
          <w:b/>
        </w:rPr>
        <w:t xml:space="preserve">a a </w:t>
      </w:r>
      <w:r w:rsidR="00F216F7">
        <w:rPr>
          <w:b/>
        </w:rPr>
        <w:t>„</w:t>
      </w:r>
      <w:proofErr w:type="spellStart"/>
      <w:proofErr w:type="gramStart"/>
      <w:r w:rsidR="00CE0E86">
        <w:rPr>
          <w:b/>
        </w:rPr>
        <w:t>rezsibox</w:t>
      </w:r>
      <w:proofErr w:type="spellEnd"/>
      <w:r w:rsidR="00F216F7">
        <w:rPr>
          <w:b/>
        </w:rPr>
        <w:t>”-</w:t>
      </w:r>
      <w:proofErr w:type="gramEnd"/>
      <w:r w:rsidR="00CE0E86">
        <w:rPr>
          <w:b/>
        </w:rPr>
        <w:t>ot érintő</w:t>
      </w:r>
      <w:r w:rsidR="005A0462">
        <w:rPr>
          <w:b/>
        </w:rPr>
        <w:t xml:space="preserve"> </w:t>
      </w:r>
      <w:r w:rsidR="00CE0E86">
        <w:rPr>
          <w:b/>
        </w:rPr>
        <w:t>tájékoztatási</w:t>
      </w:r>
      <w:r w:rsidR="00772285">
        <w:rPr>
          <w:b/>
        </w:rPr>
        <w:t xml:space="preserve"> körülmény</w:t>
      </w:r>
      <w:r w:rsidR="00CE0E86">
        <w:rPr>
          <w:b/>
        </w:rPr>
        <w:t>eke</w:t>
      </w:r>
      <w:r w:rsidR="00772285">
        <w:rPr>
          <w:b/>
        </w:rPr>
        <w:t xml:space="preserve">t, majd </w:t>
      </w:r>
      <w:r w:rsidR="00C54F4B">
        <w:rPr>
          <w:b/>
        </w:rPr>
        <w:t>megállapította, hogy az eljárás okafogyottá vált.</w:t>
      </w:r>
    </w:p>
    <w:p w14:paraId="5185DB0C" w14:textId="553754E5" w:rsidR="00617E0E" w:rsidRPr="00772285" w:rsidRDefault="00772285" w:rsidP="002D654E">
      <w:pPr>
        <w:tabs>
          <w:tab w:val="left" w:pos="567"/>
        </w:tabs>
        <w:spacing w:after="120"/>
        <w:rPr>
          <w:bCs/>
        </w:rPr>
      </w:pPr>
      <w:r w:rsidRPr="00772285">
        <w:rPr>
          <w:bCs/>
        </w:rPr>
        <w:t xml:space="preserve">2023 őszén kapott bejelentést a Gazdasági Versenyhivatal (GVH) </w:t>
      </w:r>
      <w:r>
        <w:t>a</w:t>
      </w:r>
      <w:r w:rsidR="00617E0E">
        <w:t>z MVM</w:t>
      </w:r>
      <w:r>
        <w:t xml:space="preserve"> </w:t>
      </w:r>
      <w:proofErr w:type="spellStart"/>
      <w:r>
        <w:t>Next</w:t>
      </w:r>
      <w:proofErr w:type="spellEnd"/>
      <w:r w:rsidR="00617E0E">
        <w:t xml:space="preserve"> </w:t>
      </w:r>
      <w:r w:rsidR="00AA672A">
        <w:t xml:space="preserve">földgáz egyetemes szolgáltatásra irányuló </w:t>
      </w:r>
      <w:r w:rsidR="00617E0E">
        <w:t>számlázási gyakorlatá</w:t>
      </w:r>
      <w:r w:rsidR="00D013CA">
        <w:t>val kapcsolatban</w:t>
      </w:r>
      <w:r>
        <w:t xml:space="preserve">. </w:t>
      </w:r>
      <w:r w:rsidR="00617E0E">
        <w:t>A versenyhivatal vizsgálói megvizsgálták a</w:t>
      </w:r>
      <w:r w:rsidR="00DD2C63">
        <w:t xml:space="preserve"> földgázra vonatkozó</w:t>
      </w:r>
      <w:r w:rsidR="00617E0E">
        <w:t xml:space="preserve"> bejelentést, egyebekben adatokat kértek mind a bejelentőtől, mind a bejelentett vállalkozástól, figyelembe vették a beérkezett adatszolgáltatások információit, a rendelkezésre álló egyéb dokumentumokat, és értékelték a releváns tényeket. Mindezek alapján a bejelentéses eljárásban a GVH arra a megállapításra jutott, hogy a versenyfelügyeleti eljárás indításának feltételei nem álltak fenn.</w:t>
      </w:r>
    </w:p>
    <w:p w14:paraId="55799B35" w14:textId="6A3C9B34" w:rsidR="00617E0E" w:rsidRDefault="00617E0E" w:rsidP="002D654E">
      <w:pPr>
        <w:tabs>
          <w:tab w:val="left" w:pos="567"/>
        </w:tabs>
        <w:spacing w:after="120"/>
      </w:pPr>
      <w:r w:rsidRPr="00617E0E">
        <w:t xml:space="preserve">A bejelentés lezárását követően </w:t>
      </w:r>
      <w:r w:rsidR="00D013CA">
        <w:t>a bejelentő</w:t>
      </w:r>
      <w:r w:rsidR="001F6648">
        <w:t xml:space="preserve"> – </w:t>
      </w:r>
      <w:r w:rsidR="00BB10D2">
        <w:t>a jogszabályban biztosított jogorvoslati lehetőségével élve</w:t>
      </w:r>
      <w:r w:rsidR="00A90011">
        <w:t xml:space="preserve"> </w:t>
      </w:r>
      <w:r w:rsidR="001F6648">
        <w:t xml:space="preserve">– </w:t>
      </w:r>
      <w:r w:rsidR="00BB10D2">
        <w:t>bírósághoz fordult</w:t>
      </w:r>
      <w:r w:rsidRPr="00617E0E">
        <w:t xml:space="preserve">, azt kérve a Fővárosi Törvényszéktől, hogy helyezze hatályon kívül a GVH döntését és kötelezze </w:t>
      </w:r>
      <w:r w:rsidR="00BB10D2">
        <w:t xml:space="preserve">versenyfelügyeleti </w:t>
      </w:r>
      <w:r w:rsidRPr="00617E0E">
        <w:t xml:space="preserve">eljárás </w:t>
      </w:r>
      <w:r w:rsidR="00BB10D2">
        <w:t>megindításra</w:t>
      </w:r>
      <w:r w:rsidR="00BB10D2" w:rsidRPr="00617E0E">
        <w:t xml:space="preserve"> </w:t>
      </w:r>
      <w:r w:rsidRPr="00617E0E">
        <w:t xml:space="preserve">a versenyhatóságot. A bíróság helyt adott a </w:t>
      </w:r>
      <w:r>
        <w:t>bejelentő</w:t>
      </w:r>
      <w:r w:rsidRPr="00617E0E">
        <w:t xml:space="preserve"> kereseti kérelemében foglaltaknak és </w:t>
      </w:r>
      <w:hyperlink r:id="rId8" w:history="1">
        <w:r w:rsidRPr="00182877">
          <w:rPr>
            <w:rStyle w:val="Hiperhivatkozs"/>
          </w:rPr>
          <w:t>versenyfelügyeleti eljárás lefolytatását rendelte el az ügyben.</w:t>
        </w:r>
      </w:hyperlink>
    </w:p>
    <w:p w14:paraId="0B735F27" w14:textId="5CE2D5C7" w:rsidR="009F1FBE" w:rsidRDefault="00617E0E" w:rsidP="002D654E">
      <w:pPr>
        <w:tabs>
          <w:tab w:val="left" w:pos="567"/>
        </w:tabs>
        <w:spacing w:after="120"/>
      </w:pPr>
      <w:r w:rsidRPr="00617E0E">
        <w:t>A</w:t>
      </w:r>
      <w:r>
        <w:t xml:space="preserve"> bír</w:t>
      </w:r>
      <w:r w:rsidR="00D013CA">
        <w:t>ó</w:t>
      </w:r>
      <w:r>
        <w:t xml:space="preserve">ság </w:t>
      </w:r>
      <w:r w:rsidRPr="00617E0E">
        <w:t>ítélet</w:t>
      </w:r>
      <w:r>
        <w:t>é</w:t>
      </w:r>
      <w:r w:rsidRPr="00617E0E">
        <w:t>ben foglaltak</w:t>
      </w:r>
      <w:r w:rsidR="00D013CA">
        <w:t>,</w:t>
      </w:r>
      <w:r w:rsidR="00A90011">
        <w:t xml:space="preserve"> illetve</w:t>
      </w:r>
      <w:r w:rsidRPr="00617E0E">
        <w:t xml:space="preserve"> </w:t>
      </w:r>
      <w:r w:rsidR="00B867A7">
        <w:t xml:space="preserve">a villamos energia </w:t>
      </w:r>
      <w:r w:rsidR="00AA672A">
        <w:t xml:space="preserve">egyetemes szolgáltatás </w:t>
      </w:r>
      <w:r w:rsidR="00B867A7">
        <w:t>kapcsán érkezett</w:t>
      </w:r>
      <w:r w:rsidR="00DD2C63">
        <w:t xml:space="preserve"> </w:t>
      </w:r>
      <w:r w:rsidR="00CE0E86">
        <w:t xml:space="preserve">újabb </w:t>
      </w:r>
      <w:r w:rsidR="00B867A7">
        <w:t>bejelentés</w:t>
      </w:r>
      <w:r w:rsidR="00A90011">
        <w:t xml:space="preserve"> értékelése során</w:t>
      </w:r>
      <w:r w:rsidR="00B867A7">
        <w:t xml:space="preserve"> beszerzett adatok, </w:t>
      </w:r>
      <w:r w:rsidR="00E04465">
        <w:t>továbbá</w:t>
      </w:r>
      <w:r w:rsidR="00D013CA">
        <w:t xml:space="preserve"> saját</w:t>
      </w:r>
      <w:r w:rsidRPr="00617E0E">
        <w:t xml:space="preserve"> adatgyűjtések alapján a</w:t>
      </w:r>
      <w:r w:rsidR="00A90011">
        <w:t xml:space="preserve"> </w:t>
      </w:r>
      <w:r w:rsidRPr="00617E0E">
        <w:t xml:space="preserve">versenyhatóság </w:t>
      </w:r>
      <w:hyperlink r:id="rId9" w:history="1">
        <w:r w:rsidR="00772285" w:rsidRPr="00182877">
          <w:rPr>
            <w:rStyle w:val="Hiperhivatkozs"/>
          </w:rPr>
          <w:t>a 2024. július 5-én</w:t>
        </w:r>
        <w:r w:rsidR="00B867A7" w:rsidRPr="00182877">
          <w:rPr>
            <w:rStyle w:val="Hiperhivatkozs"/>
          </w:rPr>
          <w:t xml:space="preserve"> indított versenyfelügyeleti </w:t>
        </w:r>
        <w:r w:rsidR="00BB10D2" w:rsidRPr="00182877">
          <w:rPr>
            <w:rStyle w:val="Hiperhivatkozs"/>
          </w:rPr>
          <w:t>eljárás</w:t>
        </w:r>
        <w:r w:rsidR="00B867A7" w:rsidRPr="00182877">
          <w:rPr>
            <w:rStyle w:val="Hiperhivatkozs"/>
          </w:rPr>
          <w:t>ban</w:t>
        </w:r>
        <w:r w:rsidR="00BB10D2" w:rsidRPr="00182877">
          <w:rPr>
            <w:rStyle w:val="Hiperhivatkozs"/>
          </w:rPr>
          <w:t xml:space="preserve"> </w:t>
        </w:r>
        <w:r w:rsidRPr="00182877">
          <w:rPr>
            <w:rStyle w:val="Hiperhivatkozs"/>
          </w:rPr>
          <w:t>azt vizsgál</w:t>
        </w:r>
        <w:r w:rsidR="00772285" w:rsidRPr="00182877">
          <w:rPr>
            <w:rStyle w:val="Hiperhivatkozs"/>
          </w:rPr>
          <w:t>t</w:t>
        </w:r>
        <w:r w:rsidRPr="00182877">
          <w:rPr>
            <w:rStyle w:val="Hiperhivatkozs"/>
          </w:rPr>
          <w:t>a</w:t>
        </w:r>
      </w:hyperlink>
      <w:r w:rsidRPr="00617E0E">
        <w:t xml:space="preserve">, hogy </w:t>
      </w:r>
      <w:r w:rsidR="00D013CA">
        <w:t xml:space="preserve">az MVM </w:t>
      </w:r>
      <w:proofErr w:type="spellStart"/>
      <w:r w:rsidR="00D013CA">
        <w:t>Next</w:t>
      </w:r>
      <w:proofErr w:type="spellEnd"/>
      <w:r w:rsidRPr="00617E0E">
        <w:t xml:space="preserve"> 2022 augusztusától kezdődően a földgáz</w:t>
      </w:r>
      <w:r w:rsidR="00E04465">
        <w:t xml:space="preserve"> és</w:t>
      </w:r>
      <w:r w:rsidR="00A90011">
        <w:t xml:space="preserve"> </w:t>
      </w:r>
      <w:r w:rsidRPr="00617E0E">
        <w:t>a villamos energia egyetemes szolgáltatása keretében kibocsátott számlákon</w:t>
      </w:r>
      <w:r>
        <w:t xml:space="preserve">, </w:t>
      </w:r>
      <w:r w:rsidRPr="00617E0E">
        <w:t>az ún. „</w:t>
      </w:r>
      <w:proofErr w:type="spellStart"/>
      <w:r w:rsidRPr="00617E0E">
        <w:t>rezsibox</w:t>
      </w:r>
      <w:proofErr w:type="spellEnd"/>
      <w:r w:rsidRPr="00617E0E">
        <w:t>”</w:t>
      </w:r>
      <w:r w:rsidR="00182877">
        <w:t>-ban</w:t>
      </w:r>
      <w:r w:rsidRPr="00617E0E">
        <w:t xml:space="preserve"> feltüntetett megtakarítás bemutatása</w:t>
      </w:r>
      <w:r w:rsidR="00B867A7">
        <w:t xml:space="preserve"> nem ütközik-e a tisztességtelen kereskedelmi gyakorlat tilalmába.</w:t>
      </w:r>
    </w:p>
    <w:p w14:paraId="0237AC8D" w14:textId="59F7B113" w:rsidR="00DD2C63" w:rsidRDefault="00DD2C63" w:rsidP="00396F41">
      <w:pPr>
        <w:tabs>
          <w:tab w:val="left" w:pos="567"/>
        </w:tabs>
        <w:spacing w:after="120"/>
      </w:pPr>
      <w:r>
        <w:t>A versenyfelügyeleti eljárásban</w:t>
      </w:r>
      <w:r w:rsidR="00772285">
        <w:t xml:space="preserve"> a GVH </w:t>
      </w:r>
      <w:r w:rsidR="00182877">
        <w:t>megállapította</w:t>
      </w:r>
      <w:r w:rsidR="00772285">
        <w:t>, hogy</w:t>
      </w:r>
      <w:r w:rsidR="00182877">
        <w:t xml:space="preserve"> a</w:t>
      </w:r>
      <w:r w:rsidR="00182877" w:rsidRPr="00182877">
        <w:t xml:space="preserve"> „</w:t>
      </w:r>
      <w:proofErr w:type="spellStart"/>
      <w:proofErr w:type="gramStart"/>
      <w:r w:rsidR="00182877" w:rsidRPr="00182877">
        <w:t>rezsibox</w:t>
      </w:r>
      <w:proofErr w:type="spellEnd"/>
      <w:r w:rsidR="00182877" w:rsidRPr="00182877">
        <w:t>”-</w:t>
      </w:r>
      <w:proofErr w:type="gramEnd"/>
      <w:r w:rsidR="00182877" w:rsidRPr="00182877">
        <w:t>ban szereplő tájékoztatás</w:t>
      </w:r>
      <w:r w:rsidR="00DC5481">
        <w:t xml:space="preserve"> </w:t>
      </w:r>
      <w:r w:rsidR="00182877" w:rsidRPr="00182877">
        <w:t>tartalmát jogszabály írja elő, mely elsődlegesen arra irányul, hogy a hatósági árrögzítés (rezsicsökkentés) tényéről és következményeiről</w:t>
      </w:r>
      <w:r>
        <w:t xml:space="preserve"> az MVM </w:t>
      </w:r>
      <w:proofErr w:type="spellStart"/>
      <w:r>
        <w:t>Next</w:t>
      </w:r>
      <w:proofErr w:type="spellEnd"/>
      <w:r w:rsidR="00182877" w:rsidRPr="00182877">
        <w:t xml:space="preserve"> informálja az egyetemes szolgáltatásban részesülő lakossági fogyasztókat. </w:t>
      </w:r>
      <w:r w:rsidR="00396F41" w:rsidRPr="00396F41">
        <w:t>A „</w:t>
      </w:r>
      <w:proofErr w:type="spellStart"/>
      <w:proofErr w:type="gramStart"/>
      <w:r w:rsidR="00396F41" w:rsidRPr="00396F41">
        <w:t>rezsibox</w:t>
      </w:r>
      <w:proofErr w:type="spellEnd"/>
      <w:r w:rsidR="00396F41" w:rsidRPr="00396F41">
        <w:t>”-</w:t>
      </w:r>
      <w:proofErr w:type="gramEnd"/>
      <w:r w:rsidR="00396F41" w:rsidRPr="00396F41">
        <w:t xml:space="preserve">ban megjelenő tájékoztatás megjelenítése tekintetében az MVM </w:t>
      </w:r>
      <w:proofErr w:type="spellStart"/>
      <w:r w:rsidR="00396F41" w:rsidRPr="00396F41">
        <w:t>Next</w:t>
      </w:r>
      <w:proofErr w:type="spellEnd"/>
      <w:r w:rsidR="00396F41" w:rsidRPr="00396F41">
        <w:t xml:space="preserve"> saját döntési, cselekvési önállósággal nem bír.</w:t>
      </w:r>
      <w:r w:rsidR="00396F41">
        <w:t xml:space="preserve"> </w:t>
      </w:r>
      <w:r w:rsidR="00182877" w:rsidRPr="00182877">
        <w:t>A tájékoztatás elsősorban a rezsicsökkentésről, mint kormányzati intézkedésről szól, az csak közvetetten áll kapcsolatban a földgáz- illetve villamos energia egyetemes szolgáltatás keretében történő értékesítésével.</w:t>
      </w:r>
      <w:r w:rsidR="00396F41">
        <w:t xml:space="preserve"> </w:t>
      </w:r>
      <w:r w:rsidR="001177A8">
        <w:t>A jogszabályban rögzített</w:t>
      </w:r>
      <w:r w:rsidRPr="00DD2C63">
        <w:t xml:space="preserve"> hatósági árból fakad, hogy</w:t>
      </w:r>
      <w:r w:rsidR="002D654E">
        <w:t xml:space="preserve"> a lakossági fogyasztók</w:t>
      </w:r>
      <w:r w:rsidRPr="00DD2C63">
        <w:t xml:space="preserve"> kedvezményes áron kapj</w:t>
      </w:r>
      <w:r w:rsidR="002D654E">
        <w:t>ák</w:t>
      </w:r>
      <w:r w:rsidRPr="00DD2C63">
        <w:t xml:space="preserve"> az energiát, nem pedig a</w:t>
      </w:r>
      <w:r w:rsidR="002D654E">
        <w:t xml:space="preserve">z MVM </w:t>
      </w:r>
      <w:proofErr w:type="spellStart"/>
      <w:r w:rsidR="002D654E">
        <w:t>Next</w:t>
      </w:r>
      <w:proofErr w:type="spellEnd"/>
      <w:r w:rsidR="00C54F4B">
        <w:t xml:space="preserve"> önálló</w:t>
      </w:r>
      <w:r w:rsidR="002D654E">
        <w:t xml:space="preserve"> </w:t>
      </w:r>
      <w:r w:rsidRPr="00DD2C63">
        <w:t>kereskedelmi megfontolásaiból.</w:t>
      </w:r>
    </w:p>
    <w:p w14:paraId="74B63A23" w14:textId="47725A52" w:rsidR="00772285" w:rsidRDefault="001177A8" w:rsidP="001177A8">
      <w:pPr>
        <w:tabs>
          <w:tab w:val="left" w:pos="567"/>
        </w:tabs>
        <w:spacing w:after="120"/>
      </w:pPr>
      <w:r>
        <w:t>Mindezek alapján a</w:t>
      </w:r>
      <w:r w:rsidR="002D654E">
        <w:t xml:space="preserve"> Gazdasági Versenyhivatal arra következtetésre jutott, hogy</w:t>
      </w:r>
      <w:r w:rsidR="00DD2C63" w:rsidRPr="00DD2C63">
        <w:t xml:space="preserve"> a versenyfelügyeleti eljárásban vizsgált gyakorlat nem azonosítható </w:t>
      </w:r>
      <w:r w:rsidR="002D654E">
        <w:t xml:space="preserve">az MVM </w:t>
      </w:r>
      <w:proofErr w:type="spellStart"/>
      <w:r w:rsidR="002D654E">
        <w:t>Next</w:t>
      </w:r>
      <w:proofErr w:type="spellEnd"/>
      <w:r w:rsidR="00DD2C63" w:rsidRPr="00DD2C63">
        <w:t xml:space="preserve"> önálló piaci magatartásával, azaz csak közvetetten kapcsolatható az egyetemes szolgáltatás nyújtásához</w:t>
      </w:r>
      <w:r w:rsidR="00DD2C63">
        <w:t>.</w:t>
      </w:r>
      <w:r w:rsidR="00DD2C63" w:rsidRPr="00DD2C63">
        <w:t xml:space="preserve"> </w:t>
      </w:r>
      <w:r w:rsidR="00DD2C63">
        <w:t>Í</w:t>
      </w:r>
      <w:r w:rsidR="00DD2C63" w:rsidRPr="00DD2C63">
        <w:t xml:space="preserve">gy a </w:t>
      </w:r>
      <w:r w:rsidR="002D654E">
        <w:t>GVH</w:t>
      </w:r>
      <w:r w:rsidR="00DD2C63" w:rsidRPr="00DD2C63">
        <w:t xml:space="preserve"> megállapította, hogy</w:t>
      </w:r>
      <w:r w:rsidR="00DD2C63">
        <w:t xml:space="preserve"> </w:t>
      </w:r>
      <w:r w:rsidR="00DD2C63" w:rsidRPr="00DD2C63">
        <w:t xml:space="preserve">az MVM </w:t>
      </w:r>
      <w:proofErr w:type="spellStart"/>
      <w:r w:rsidR="00DD2C63" w:rsidRPr="00DD2C63">
        <w:t>Next</w:t>
      </w:r>
      <w:proofErr w:type="spellEnd"/>
      <w:r w:rsidR="00DD2C63" w:rsidRPr="00DD2C63">
        <w:t xml:space="preserve"> számlázási gyakorlata nem minősül a fogyasztókkal szembeni tisztességtelen </w:t>
      </w:r>
      <w:r w:rsidR="00DD2C63" w:rsidRPr="00DD2C63">
        <w:lastRenderedPageBreak/>
        <w:t>kereskedelmi gyakorlat tilalmáról szóló 2008. évi XLVII. törvény (Fttv.) 2.</w:t>
      </w:r>
      <w:r w:rsidR="002D654E">
        <w:t xml:space="preserve"> </w:t>
      </w:r>
      <w:r w:rsidR="00DD2C63" w:rsidRPr="00DD2C63">
        <w:t>§</w:t>
      </w:r>
      <w:r w:rsidR="002D654E">
        <w:t xml:space="preserve"> </w:t>
      </w:r>
      <w:r w:rsidR="00DD2C63" w:rsidRPr="00DD2C63">
        <w:t xml:space="preserve">(d) </w:t>
      </w:r>
      <w:r w:rsidR="002D654E">
        <w:t>bekezdésében</w:t>
      </w:r>
      <w:r w:rsidR="00DD2C63" w:rsidRPr="00DD2C63">
        <w:t xml:space="preserve"> előírt kereskedelmi gyakorlatnak</w:t>
      </w:r>
      <w:r w:rsidR="002D654E">
        <w:t>.</w:t>
      </w:r>
      <w:r w:rsidR="00DD2C63" w:rsidRPr="00DD2C63">
        <w:t xml:space="preserve"> </w:t>
      </w:r>
      <w:r w:rsidR="005A0462">
        <w:t>Ezért</w:t>
      </w:r>
      <w:r w:rsidR="00CE0E86">
        <w:t xml:space="preserve"> </w:t>
      </w:r>
      <w:r w:rsidR="00DD2C63" w:rsidRPr="00DD2C63">
        <w:t>az Fttv. rendelkezései – tárgyi hatály hiányában – nem alkalmazhatók a versenyfelügyeleti eljárással érintett magatartás vonatkozásában.</w:t>
      </w:r>
      <w:r>
        <w:t xml:space="preserve"> </w:t>
      </w:r>
      <w:r w:rsidR="002D654E">
        <w:t>Mivel az</w:t>
      </w:r>
      <w:r w:rsidR="00DD2C63" w:rsidRPr="00DD2C63">
        <w:t xml:space="preserve"> Fttv. 10.</w:t>
      </w:r>
      <w:r w:rsidR="002D654E">
        <w:t xml:space="preserve"> </w:t>
      </w:r>
      <w:r w:rsidR="00DD2C63" w:rsidRPr="00DD2C63">
        <w:t>§</w:t>
      </w:r>
      <w:r w:rsidR="002D654E">
        <w:t xml:space="preserve"> </w:t>
      </w:r>
      <w:r w:rsidR="00DD2C63" w:rsidRPr="00DD2C63">
        <w:t>(3) bekezdése szerint</w:t>
      </w:r>
      <w:r w:rsidR="002D654E">
        <w:t xml:space="preserve"> a GVH</w:t>
      </w:r>
      <w:r w:rsidR="00DD2C63" w:rsidRPr="00DD2C63">
        <w:t xml:space="preserve"> hatásköre kizárólag Fttv. hatálya alá tartozó magatartás</w:t>
      </w:r>
      <w:r w:rsidR="002D654E">
        <w:t>(ok)</w:t>
      </w:r>
      <w:r w:rsidR="00DD2C63" w:rsidRPr="00DD2C63">
        <w:t xml:space="preserve"> vizsgálatára terjed ki, így</w:t>
      </w:r>
      <w:r w:rsidR="002D654E">
        <w:t xml:space="preserve"> a versenyhatóság</w:t>
      </w:r>
      <w:r w:rsidR="00DD2C63" w:rsidRPr="00DD2C63">
        <w:t xml:space="preserve"> megállapít</w:t>
      </w:r>
      <w:r w:rsidR="00DD2C63">
        <w:t>otta</w:t>
      </w:r>
      <w:r w:rsidR="00DD2C63" w:rsidRPr="00DD2C63">
        <w:t>, hogy az eljárás lefolytatására nincs hatásköre, amelyre tekintettel a versenyfelügyeleti eljárás okafogyottá vált</w:t>
      </w:r>
      <w:r w:rsidR="002D654E">
        <w:t>, így azt a GVH megszüntette.</w:t>
      </w:r>
    </w:p>
    <w:p w14:paraId="3F5C0D44" w14:textId="55312F45" w:rsidR="00361831" w:rsidRPr="00F97FB3" w:rsidRDefault="00361831" w:rsidP="002D654E">
      <w:pPr>
        <w:spacing w:after="120"/>
      </w:pPr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DD2C63">
        <w:rPr>
          <w:b/>
          <w:bCs/>
        </w:rPr>
        <w:t>29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</w:p>
    <w:bookmarkEnd w:id="1"/>
    <w:p w14:paraId="4975C93D" w14:textId="6AE6F10D" w:rsidR="00361831" w:rsidRPr="006A045E" w:rsidRDefault="00361831" w:rsidP="00D013CA">
      <w:pPr>
        <w:spacing w:after="0"/>
        <w:ind w:left="199" w:firstLine="708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5621128B" w:rsidR="002A426E" w:rsidRDefault="00361831" w:rsidP="00D013CA">
      <w:pPr>
        <w:spacing w:after="0"/>
      </w:pPr>
      <w:r>
        <w:t>Gondolovics Katalin, sajtószóvivő +36 30 603 1170</w:t>
      </w:r>
    </w:p>
    <w:sectPr w:rsidR="002A426E" w:rsidSect="005B64AD">
      <w:footerReference w:type="default" r:id="rId10"/>
      <w:headerReference w:type="first" r:id="rId11"/>
      <w:footerReference w:type="first" r:id="rId12"/>
      <w:pgSz w:w="11906" w:h="16838"/>
      <w:pgMar w:top="284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AC16" w14:textId="77777777" w:rsidR="00484A14" w:rsidRDefault="00484A14">
      <w:pPr>
        <w:spacing w:after="0" w:line="240" w:lineRule="auto"/>
      </w:pPr>
      <w:r>
        <w:separator/>
      </w:r>
    </w:p>
  </w:endnote>
  <w:endnote w:type="continuationSeparator" w:id="0">
    <w:p w14:paraId="637786B9" w14:textId="77777777" w:rsidR="00484A14" w:rsidRDefault="0048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2B7C7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2B7C7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C197" w14:textId="77777777" w:rsidR="00484A14" w:rsidRDefault="00484A14">
      <w:pPr>
        <w:spacing w:after="0" w:line="240" w:lineRule="auto"/>
      </w:pPr>
      <w:r>
        <w:separator/>
      </w:r>
    </w:p>
  </w:footnote>
  <w:footnote w:type="continuationSeparator" w:id="0">
    <w:p w14:paraId="61897A63" w14:textId="77777777" w:rsidR="00484A14" w:rsidRDefault="0048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2B7C7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11AA"/>
    <w:multiLevelType w:val="hybridMultilevel"/>
    <w:tmpl w:val="9242728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529095F"/>
    <w:multiLevelType w:val="hybridMultilevel"/>
    <w:tmpl w:val="D6ECB39E"/>
    <w:lvl w:ilvl="0" w:tplc="2E3AB0A2">
      <w:start w:val="5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76FD2437"/>
    <w:multiLevelType w:val="hybridMultilevel"/>
    <w:tmpl w:val="BF42D84E"/>
    <w:lvl w:ilvl="0" w:tplc="1F3E16D2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968128076">
    <w:abstractNumId w:val="1"/>
  </w:num>
  <w:num w:numId="2" w16cid:durableId="977345090">
    <w:abstractNumId w:val="2"/>
  </w:num>
  <w:num w:numId="3" w16cid:durableId="55104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890"/>
    <w:rsid w:val="00011AF6"/>
    <w:rsid w:val="00026C58"/>
    <w:rsid w:val="00055453"/>
    <w:rsid w:val="00057D8B"/>
    <w:rsid w:val="0006358B"/>
    <w:rsid w:val="000717D4"/>
    <w:rsid w:val="00074B19"/>
    <w:rsid w:val="00074E8E"/>
    <w:rsid w:val="001177A8"/>
    <w:rsid w:val="00137704"/>
    <w:rsid w:val="001536CB"/>
    <w:rsid w:val="001603D4"/>
    <w:rsid w:val="00166C7F"/>
    <w:rsid w:val="00182877"/>
    <w:rsid w:val="001A45E8"/>
    <w:rsid w:val="001F6648"/>
    <w:rsid w:val="00202D48"/>
    <w:rsid w:val="00206DF4"/>
    <w:rsid w:val="002574F3"/>
    <w:rsid w:val="002A0E05"/>
    <w:rsid w:val="002A426E"/>
    <w:rsid w:val="002A7671"/>
    <w:rsid w:val="002B5D64"/>
    <w:rsid w:val="002B7C7F"/>
    <w:rsid w:val="002D3134"/>
    <w:rsid w:val="002D654E"/>
    <w:rsid w:val="002D7A9E"/>
    <w:rsid w:val="00322BCD"/>
    <w:rsid w:val="003306CA"/>
    <w:rsid w:val="00361831"/>
    <w:rsid w:val="00385749"/>
    <w:rsid w:val="0038706A"/>
    <w:rsid w:val="00395481"/>
    <w:rsid w:val="00396F41"/>
    <w:rsid w:val="003A2F77"/>
    <w:rsid w:val="003A6FC6"/>
    <w:rsid w:val="003C51E4"/>
    <w:rsid w:val="003D3C6B"/>
    <w:rsid w:val="003E675C"/>
    <w:rsid w:val="003F11DE"/>
    <w:rsid w:val="00422C2A"/>
    <w:rsid w:val="00424B8A"/>
    <w:rsid w:val="00430D05"/>
    <w:rsid w:val="004761CF"/>
    <w:rsid w:val="00484A14"/>
    <w:rsid w:val="00491BFC"/>
    <w:rsid w:val="004E13FE"/>
    <w:rsid w:val="004E3CF2"/>
    <w:rsid w:val="004F164F"/>
    <w:rsid w:val="00545903"/>
    <w:rsid w:val="005557D6"/>
    <w:rsid w:val="005566B7"/>
    <w:rsid w:val="00580909"/>
    <w:rsid w:val="005873DD"/>
    <w:rsid w:val="0059770E"/>
    <w:rsid w:val="005A0462"/>
    <w:rsid w:val="005A384B"/>
    <w:rsid w:val="005A4856"/>
    <w:rsid w:val="005B31C0"/>
    <w:rsid w:val="005B64AD"/>
    <w:rsid w:val="005C574F"/>
    <w:rsid w:val="005D5BF3"/>
    <w:rsid w:val="005E13E7"/>
    <w:rsid w:val="005E7373"/>
    <w:rsid w:val="00612D35"/>
    <w:rsid w:val="00617E0E"/>
    <w:rsid w:val="00626E97"/>
    <w:rsid w:val="0065691D"/>
    <w:rsid w:val="00662D35"/>
    <w:rsid w:val="006661F7"/>
    <w:rsid w:val="006A3D41"/>
    <w:rsid w:val="006A4F2E"/>
    <w:rsid w:val="006A6780"/>
    <w:rsid w:val="006C7CBD"/>
    <w:rsid w:val="006D7010"/>
    <w:rsid w:val="006F01E1"/>
    <w:rsid w:val="006F5CD2"/>
    <w:rsid w:val="0072038E"/>
    <w:rsid w:val="00721F53"/>
    <w:rsid w:val="00733C3C"/>
    <w:rsid w:val="00736F52"/>
    <w:rsid w:val="007434D4"/>
    <w:rsid w:val="007477D8"/>
    <w:rsid w:val="00772285"/>
    <w:rsid w:val="007C7EEA"/>
    <w:rsid w:val="007D53B9"/>
    <w:rsid w:val="007E7FE3"/>
    <w:rsid w:val="0080239A"/>
    <w:rsid w:val="008302EE"/>
    <w:rsid w:val="00835934"/>
    <w:rsid w:val="00855AD2"/>
    <w:rsid w:val="00872E01"/>
    <w:rsid w:val="0087723A"/>
    <w:rsid w:val="008927DB"/>
    <w:rsid w:val="008C44CC"/>
    <w:rsid w:val="008C451A"/>
    <w:rsid w:val="008F43F8"/>
    <w:rsid w:val="00904062"/>
    <w:rsid w:val="00905BBD"/>
    <w:rsid w:val="00911FC3"/>
    <w:rsid w:val="00912981"/>
    <w:rsid w:val="00912F79"/>
    <w:rsid w:val="00916000"/>
    <w:rsid w:val="00925F46"/>
    <w:rsid w:val="00933AD1"/>
    <w:rsid w:val="009379D0"/>
    <w:rsid w:val="00991A1E"/>
    <w:rsid w:val="009A512B"/>
    <w:rsid w:val="009B794A"/>
    <w:rsid w:val="009C2511"/>
    <w:rsid w:val="009E6552"/>
    <w:rsid w:val="009F1FBE"/>
    <w:rsid w:val="00A23ED6"/>
    <w:rsid w:val="00A2530F"/>
    <w:rsid w:val="00A31E20"/>
    <w:rsid w:val="00A577FC"/>
    <w:rsid w:val="00A6553E"/>
    <w:rsid w:val="00A715B2"/>
    <w:rsid w:val="00A90011"/>
    <w:rsid w:val="00A96E66"/>
    <w:rsid w:val="00AA0666"/>
    <w:rsid w:val="00AA3934"/>
    <w:rsid w:val="00AA672A"/>
    <w:rsid w:val="00AF1A47"/>
    <w:rsid w:val="00B146E1"/>
    <w:rsid w:val="00B43BC7"/>
    <w:rsid w:val="00B6413F"/>
    <w:rsid w:val="00B708C6"/>
    <w:rsid w:val="00B76684"/>
    <w:rsid w:val="00B867A7"/>
    <w:rsid w:val="00BA45A6"/>
    <w:rsid w:val="00BB10D2"/>
    <w:rsid w:val="00BB7481"/>
    <w:rsid w:val="00BC2557"/>
    <w:rsid w:val="00BC4099"/>
    <w:rsid w:val="00BC4B2E"/>
    <w:rsid w:val="00C174B3"/>
    <w:rsid w:val="00C4538B"/>
    <w:rsid w:val="00C51987"/>
    <w:rsid w:val="00C54F4B"/>
    <w:rsid w:val="00C87708"/>
    <w:rsid w:val="00C9083F"/>
    <w:rsid w:val="00CA2EBA"/>
    <w:rsid w:val="00CD56C9"/>
    <w:rsid w:val="00CD63D8"/>
    <w:rsid w:val="00CE0E86"/>
    <w:rsid w:val="00CF2DA9"/>
    <w:rsid w:val="00D013CA"/>
    <w:rsid w:val="00D13888"/>
    <w:rsid w:val="00D213C7"/>
    <w:rsid w:val="00D31443"/>
    <w:rsid w:val="00D361F1"/>
    <w:rsid w:val="00D43503"/>
    <w:rsid w:val="00DB780D"/>
    <w:rsid w:val="00DC5184"/>
    <w:rsid w:val="00DC5481"/>
    <w:rsid w:val="00DD2C63"/>
    <w:rsid w:val="00DE2921"/>
    <w:rsid w:val="00DF2236"/>
    <w:rsid w:val="00E04465"/>
    <w:rsid w:val="00E2399C"/>
    <w:rsid w:val="00E37FE8"/>
    <w:rsid w:val="00E45607"/>
    <w:rsid w:val="00E665BD"/>
    <w:rsid w:val="00E761EB"/>
    <w:rsid w:val="00E81381"/>
    <w:rsid w:val="00E8679C"/>
    <w:rsid w:val="00E9474A"/>
    <w:rsid w:val="00EC4637"/>
    <w:rsid w:val="00EE0B58"/>
    <w:rsid w:val="00F07DD6"/>
    <w:rsid w:val="00F13997"/>
    <w:rsid w:val="00F216F7"/>
    <w:rsid w:val="00F22CD6"/>
    <w:rsid w:val="00F261FE"/>
    <w:rsid w:val="00F33431"/>
    <w:rsid w:val="00F55FD2"/>
    <w:rsid w:val="00F62BCF"/>
    <w:rsid w:val="00F70719"/>
    <w:rsid w:val="00F750C8"/>
    <w:rsid w:val="00F82C6C"/>
    <w:rsid w:val="00F922F9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9A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versenyfelugyeleti-eljaras-lefolytatasat-rendelte-el-a-birosag-az-mvm-szamlazasi-gyakorlataval-kapcsolatb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versenyfelugyeleti-eljarasban-vizsgalja-a-gvh-az-mvm-next-szamlazasi-gyakorlat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FEBE-A09C-4AF7-A780-7547A32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2</cp:revision>
  <dcterms:created xsi:type="dcterms:W3CDTF">2024-11-06T08:52:00Z</dcterms:created>
  <dcterms:modified xsi:type="dcterms:W3CDTF">2024-11-06T08:52:00Z</dcterms:modified>
</cp:coreProperties>
</file>