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2D59" w14:textId="2F85A9F0" w:rsidR="002A01B5" w:rsidRPr="002A01B5" w:rsidRDefault="000730F5" w:rsidP="001273C9">
      <w:pPr>
        <w:spacing w:after="120"/>
        <w:rPr>
          <w:b/>
          <w:bCs/>
          <w:sz w:val="28"/>
          <w:szCs w:val="28"/>
        </w:rPr>
      </w:pPr>
      <w:bookmarkStart w:id="0" w:name="_Hlk147755103"/>
      <w:bookmarkStart w:id="1" w:name="_Hlk150499558"/>
      <w:r>
        <w:rPr>
          <w:b/>
          <w:bCs/>
          <w:sz w:val="28"/>
          <w:szCs w:val="28"/>
        </w:rPr>
        <w:t>GV</w:t>
      </w:r>
      <w:r w:rsidR="00E33867">
        <w:rPr>
          <w:b/>
          <w:bCs/>
          <w:sz w:val="28"/>
          <w:szCs w:val="28"/>
        </w:rPr>
        <w:t>H-elnök</w:t>
      </w:r>
      <w:r>
        <w:rPr>
          <w:b/>
          <w:bCs/>
          <w:sz w:val="28"/>
          <w:szCs w:val="28"/>
        </w:rPr>
        <w:t xml:space="preserve">: </w:t>
      </w:r>
      <w:r w:rsidR="00166CD3" w:rsidRPr="00166CD3">
        <w:rPr>
          <w:b/>
          <w:bCs/>
          <w:i/>
          <w:iCs/>
          <w:sz w:val="28"/>
          <w:szCs w:val="28"/>
        </w:rPr>
        <w:t>„</w:t>
      </w:r>
      <w:r w:rsidRPr="00166CD3">
        <w:rPr>
          <w:b/>
          <w:bCs/>
          <w:i/>
          <w:iCs/>
          <w:sz w:val="28"/>
          <w:szCs w:val="28"/>
        </w:rPr>
        <w:t xml:space="preserve">Hidat </w:t>
      </w:r>
      <w:r w:rsidR="00E33867">
        <w:rPr>
          <w:b/>
          <w:bCs/>
          <w:i/>
          <w:iCs/>
          <w:sz w:val="28"/>
          <w:szCs w:val="28"/>
        </w:rPr>
        <w:t>képzünk</w:t>
      </w:r>
      <w:r w:rsidRPr="00166CD3">
        <w:rPr>
          <w:b/>
          <w:bCs/>
          <w:i/>
          <w:iCs/>
          <w:sz w:val="28"/>
          <w:szCs w:val="28"/>
        </w:rPr>
        <w:t xml:space="preserve"> a </w:t>
      </w:r>
      <w:r w:rsidR="00D30776">
        <w:rPr>
          <w:b/>
          <w:bCs/>
          <w:i/>
          <w:iCs/>
          <w:sz w:val="28"/>
          <w:szCs w:val="28"/>
        </w:rPr>
        <w:t>n</w:t>
      </w:r>
      <w:r w:rsidRPr="00166CD3">
        <w:rPr>
          <w:b/>
          <w:bCs/>
          <w:i/>
          <w:iCs/>
          <w:sz w:val="28"/>
          <w:szCs w:val="28"/>
        </w:rPr>
        <w:t>yugat-</w:t>
      </w:r>
      <w:r w:rsidR="00D30776">
        <w:rPr>
          <w:b/>
          <w:bCs/>
          <w:i/>
          <w:iCs/>
          <w:sz w:val="28"/>
          <w:szCs w:val="28"/>
        </w:rPr>
        <w:t>b</w:t>
      </w:r>
      <w:r w:rsidRPr="00166CD3">
        <w:rPr>
          <w:b/>
          <w:bCs/>
          <w:i/>
          <w:iCs/>
          <w:sz w:val="28"/>
          <w:szCs w:val="28"/>
        </w:rPr>
        <w:t xml:space="preserve">alkáni országok és a </w:t>
      </w:r>
      <w:r w:rsidR="00E33867">
        <w:rPr>
          <w:b/>
          <w:bCs/>
          <w:i/>
          <w:iCs/>
          <w:sz w:val="28"/>
          <w:szCs w:val="28"/>
        </w:rPr>
        <w:t>t</w:t>
      </w:r>
      <w:r w:rsidRPr="00166CD3">
        <w:rPr>
          <w:b/>
          <w:bCs/>
          <w:i/>
          <w:iCs/>
          <w:sz w:val="28"/>
          <w:szCs w:val="28"/>
        </w:rPr>
        <w:t>ürk államok között</w:t>
      </w:r>
      <w:r w:rsidR="00166CD3" w:rsidRPr="00166CD3">
        <w:rPr>
          <w:b/>
          <w:bCs/>
          <w:i/>
          <w:iCs/>
          <w:sz w:val="28"/>
          <w:szCs w:val="28"/>
        </w:rPr>
        <w:t>”</w:t>
      </w:r>
    </w:p>
    <w:p w14:paraId="36C3A3FF" w14:textId="0A9E3F4B" w:rsidR="002A01B5" w:rsidRPr="002A01B5" w:rsidRDefault="00166CD3" w:rsidP="001273C9">
      <w:pPr>
        <w:spacing w:after="12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</w:rPr>
        <w:t>A konnektivitást képviselte a nemzeti versenyhatóság a Balkan Competition Platform</w:t>
      </w:r>
      <w:r w:rsidR="00CD7107">
        <w:rPr>
          <w:b/>
          <w:bCs/>
          <w:i/>
          <w:iCs/>
        </w:rPr>
        <w:t xml:space="preserve"> eseményén</w:t>
      </w:r>
      <w:r w:rsidR="00E33867">
        <w:rPr>
          <w:b/>
          <w:bCs/>
          <w:i/>
          <w:iCs/>
        </w:rPr>
        <w:t>, Isztambulban</w:t>
      </w:r>
    </w:p>
    <w:p w14:paraId="60DE97AF" w14:textId="0E7D7D3F" w:rsidR="00293221" w:rsidRDefault="00361831" w:rsidP="001273C9">
      <w:pPr>
        <w:tabs>
          <w:tab w:val="left" w:pos="567"/>
        </w:tabs>
        <w:spacing w:after="120"/>
        <w:rPr>
          <w:b/>
          <w:i/>
          <w:iCs/>
        </w:rPr>
      </w:pPr>
      <w:r w:rsidRPr="00257907">
        <w:rPr>
          <w:b/>
        </w:rPr>
        <w:t>Budapest, 202</w:t>
      </w:r>
      <w:r w:rsidR="00A610DF">
        <w:rPr>
          <w:b/>
        </w:rPr>
        <w:t>4</w:t>
      </w:r>
      <w:r w:rsidRPr="00257907">
        <w:rPr>
          <w:b/>
        </w:rPr>
        <w:t>.</w:t>
      </w:r>
      <w:r>
        <w:rPr>
          <w:b/>
        </w:rPr>
        <w:t xml:space="preserve"> </w:t>
      </w:r>
      <w:r w:rsidR="00166CD3">
        <w:rPr>
          <w:b/>
        </w:rPr>
        <w:t>szeptember 30</w:t>
      </w:r>
      <w:r>
        <w:rPr>
          <w:b/>
        </w:rPr>
        <w:t>.</w:t>
      </w:r>
      <w:r w:rsidRPr="00257907">
        <w:rPr>
          <w:b/>
        </w:rPr>
        <w:t xml:space="preserve"> –</w:t>
      </w:r>
      <w:r>
        <w:rPr>
          <w:b/>
        </w:rPr>
        <w:t xml:space="preserve"> </w:t>
      </w:r>
      <w:bookmarkEnd w:id="0"/>
      <w:r w:rsidR="0034027E" w:rsidRPr="0034027E">
        <w:rPr>
          <w:b/>
          <w:i/>
          <w:iCs/>
        </w:rPr>
        <w:t>„Magyarország és a mag</w:t>
      </w:r>
      <w:r w:rsidR="0034027E">
        <w:rPr>
          <w:b/>
          <w:i/>
          <w:iCs/>
        </w:rPr>
        <w:t>y</w:t>
      </w:r>
      <w:r w:rsidR="0034027E" w:rsidRPr="0034027E">
        <w:rPr>
          <w:b/>
          <w:i/>
          <w:iCs/>
        </w:rPr>
        <w:t>ar nemzeti versenyhatóság elkötelezett az összekapcsolódás és a kölcsönös tudásmegosztás előmozdítása mellett”</w:t>
      </w:r>
      <w:r w:rsidR="0034027E">
        <w:rPr>
          <w:b/>
        </w:rPr>
        <w:t xml:space="preserve"> – hangsúlyozta Rigó Csaba Balázs, a Gazdasági Versenyhivatal elnöke Isztambulban, az első alkalommal megrendezett</w:t>
      </w:r>
      <w:r w:rsidR="00166CD3">
        <w:rPr>
          <w:b/>
        </w:rPr>
        <w:t xml:space="preserve"> Balkan </w:t>
      </w:r>
      <w:proofErr w:type="spellStart"/>
      <w:r w:rsidR="00166CD3">
        <w:rPr>
          <w:b/>
        </w:rPr>
        <w:t>Competition</w:t>
      </w:r>
      <w:proofErr w:type="spellEnd"/>
      <w:r w:rsidR="00166CD3">
        <w:rPr>
          <w:b/>
        </w:rPr>
        <w:t xml:space="preserve"> Platfor</w:t>
      </w:r>
      <w:bookmarkEnd w:id="1"/>
      <w:r w:rsidR="00D12E39">
        <w:rPr>
          <w:b/>
        </w:rPr>
        <w:t>m konferencián</w:t>
      </w:r>
      <w:r w:rsidR="00166CD3">
        <w:rPr>
          <w:b/>
        </w:rPr>
        <w:t xml:space="preserve">. A nemzetközi </w:t>
      </w:r>
      <w:r w:rsidR="00D12E39">
        <w:rPr>
          <w:b/>
        </w:rPr>
        <w:t>kezdeményezés</w:t>
      </w:r>
      <w:r w:rsidR="0034027E">
        <w:rPr>
          <w:b/>
        </w:rPr>
        <w:t xml:space="preserve"> legfőbb</w:t>
      </w:r>
      <w:r w:rsidR="00166CD3">
        <w:rPr>
          <w:b/>
        </w:rPr>
        <w:t xml:space="preserve"> célja, hogy szorosabbra fűzze a</w:t>
      </w:r>
      <w:r w:rsidR="00D12E39">
        <w:rPr>
          <w:b/>
        </w:rPr>
        <w:t xml:space="preserve"> résztvevő </w:t>
      </w:r>
      <w:r w:rsidR="00166CD3">
        <w:rPr>
          <w:b/>
        </w:rPr>
        <w:t>ország</w:t>
      </w:r>
      <w:r w:rsidR="00D12E39">
        <w:rPr>
          <w:b/>
        </w:rPr>
        <w:t>ok</w:t>
      </w:r>
      <w:r w:rsidR="00166CD3">
        <w:rPr>
          <w:b/>
        </w:rPr>
        <w:t xml:space="preserve"> </w:t>
      </w:r>
      <w:r w:rsidR="00207BA4">
        <w:rPr>
          <w:b/>
        </w:rPr>
        <w:t>közötti versenypolitikai együttműködést.</w:t>
      </w:r>
      <w:r w:rsidR="00D12E39">
        <w:rPr>
          <w:b/>
        </w:rPr>
        <w:t xml:space="preserve"> A GVH mintegy két évtizede vezető szerepet vállal a térség versenyjogi tudásmegosztásában.</w:t>
      </w:r>
    </w:p>
    <w:p w14:paraId="0025D55B" w14:textId="6DCFC112" w:rsidR="00F83B82" w:rsidRDefault="00645190" w:rsidP="001273C9">
      <w:pPr>
        <w:tabs>
          <w:tab w:val="left" w:pos="567"/>
        </w:tabs>
        <w:spacing w:after="120"/>
        <w:rPr>
          <w:bCs/>
        </w:rPr>
      </w:pPr>
      <w:r>
        <w:rPr>
          <w:bCs/>
        </w:rPr>
        <w:t xml:space="preserve">2024. </w:t>
      </w:r>
      <w:r w:rsidR="001273C9">
        <w:rPr>
          <w:bCs/>
        </w:rPr>
        <w:t>s</w:t>
      </w:r>
      <w:r w:rsidR="00F83B82" w:rsidRPr="00F83B82">
        <w:rPr>
          <w:bCs/>
        </w:rPr>
        <w:t xml:space="preserve">zeptember 30-án, Isztambulban rendezték meg az első Balkan Competition Platformot. </w:t>
      </w:r>
      <w:r w:rsidR="00F83B82">
        <w:rPr>
          <w:bCs/>
        </w:rPr>
        <w:t>A Török Versenyhatóság által szervezett nemzetközi rendezvény célja</w:t>
      </w:r>
      <w:r w:rsidR="0034027E">
        <w:rPr>
          <w:bCs/>
        </w:rPr>
        <w:t xml:space="preserve">, hogy a </w:t>
      </w:r>
      <w:r w:rsidR="00D30776">
        <w:rPr>
          <w:bCs/>
        </w:rPr>
        <w:t>kölcsönös tudásmegosztás erősítésével és szakmai együttműködés kialakításával</w:t>
      </w:r>
      <w:r w:rsidR="0034027E">
        <w:rPr>
          <w:bCs/>
        </w:rPr>
        <w:t xml:space="preserve"> előmozdítsa a </w:t>
      </w:r>
      <w:r w:rsidR="00D12E39">
        <w:rPr>
          <w:bCs/>
        </w:rPr>
        <w:t>résztvevő országok</w:t>
      </w:r>
      <w:r w:rsidR="00D30776">
        <w:rPr>
          <w:bCs/>
        </w:rPr>
        <w:t xml:space="preserve"> versenypolitikai jogérvényesítés</w:t>
      </w:r>
      <w:r w:rsidR="0034027E">
        <w:rPr>
          <w:bCs/>
        </w:rPr>
        <w:t>ének fejlődését.</w:t>
      </w:r>
      <w:r w:rsidR="00D30776">
        <w:rPr>
          <w:bCs/>
        </w:rPr>
        <w:t xml:space="preserve"> Az eseményen a Török Versenyhatóság és a GVH elnöke mellett – részt vettek Albánia, Bosznia-Hercegovina, a Bulgária, Észak-Macedónia, Görögország, Koszovó, Montenegró és Románia versenyhatóságainak</w:t>
      </w:r>
      <w:r w:rsidR="00E33867">
        <w:rPr>
          <w:bCs/>
        </w:rPr>
        <w:t xml:space="preserve"> elnökei, illetve vezető</w:t>
      </w:r>
      <w:r>
        <w:rPr>
          <w:bCs/>
        </w:rPr>
        <w:t>i</w:t>
      </w:r>
      <w:r w:rsidR="00C94F7F">
        <w:rPr>
          <w:bCs/>
        </w:rPr>
        <w:t xml:space="preserve"> is.</w:t>
      </w:r>
    </w:p>
    <w:p w14:paraId="6372C672" w14:textId="09305DDE" w:rsidR="00C00310" w:rsidRPr="00E33867" w:rsidRDefault="00C00310" w:rsidP="001273C9">
      <w:pPr>
        <w:tabs>
          <w:tab w:val="left" w:pos="567"/>
        </w:tabs>
        <w:spacing w:after="120"/>
      </w:pPr>
      <w:r>
        <w:t>Rigó Csaba Balázs,</w:t>
      </w:r>
      <w:r w:rsidR="00645190">
        <w:t xml:space="preserve"> a</w:t>
      </w:r>
      <w:r>
        <w:t xml:space="preserve"> Gazdasági Versenyhivatal elnöke </w:t>
      </w:r>
      <w:r w:rsidR="00E33867">
        <w:t>a</w:t>
      </w:r>
      <w:r>
        <w:t xml:space="preserve"> konferencián</w:t>
      </w:r>
      <w:r w:rsidR="00E33867">
        <w:t xml:space="preserve"> hangsúlyozta: </w:t>
      </w:r>
      <w:r w:rsidR="0079251E" w:rsidRPr="0079251E">
        <w:rPr>
          <w:i/>
          <w:iCs/>
        </w:rPr>
        <w:t>„</w:t>
      </w:r>
      <w:r w:rsidR="00645190">
        <w:rPr>
          <w:i/>
          <w:iCs/>
        </w:rPr>
        <w:t>Magyarország</w:t>
      </w:r>
      <w:r w:rsidR="00C94F7F">
        <w:rPr>
          <w:i/>
          <w:iCs/>
        </w:rPr>
        <w:t xml:space="preserve"> és a magyar nemzeti versenyhatóság</w:t>
      </w:r>
      <w:r w:rsidR="0079251E" w:rsidRPr="0079251E">
        <w:rPr>
          <w:i/>
          <w:iCs/>
        </w:rPr>
        <w:t xml:space="preserve"> elkötelezett</w:t>
      </w:r>
      <w:r w:rsidR="00C41A6E">
        <w:rPr>
          <w:i/>
          <w:iCs/>
        </w:rPr>
        <w:t xml:space="preserve"> a</w:t>
      </w:r>
      <w:r w:rsidR="0079251E">
        <w:t xml:space="preserve"> </w:t>
      </w:r>
      <w:proofErr w:type="spellStart"/>
      <w:r w:rsidR="00E33867">
        <w:rPr>
          <w:bCs/>
          <w:i/>
          <w:iCs/>
        </w:rPr>
        <w:t>konnektivitás</w:t>
      </w:r>
      <w:proofErr w:type="spellEnd"/>
      <w:r w:rsidR="00E33867">
        <w:rPr>
          <w:bCs/>
          <w:i/>
          <w:iCs/>
        </w:rPr>
        <w:t xml:space="preserve">, </w:t>
      </w:r>
      <w:r w:rsidR="0034027E">
        <w:rPr>
          <w:bCs/>
          <w:i/>
          <w:iCs/>
        </w:rPr>
        <w:t xml:space="preserve">vagyis </w:t>
      </w:r>
      <w:r w:rsidR="00E33867">
        <w:rPr>
          <w:bCs/>
          <w:i/>
          <w:iCs/>
        </w:rPr>
        <w:t>az összekapcsolódás</w:t>
      </w:r>
      <w:r w:rsidR="0079251E">
        <w:rPr>
          <w:bCs/>
          <w:i/>
          <w:iCs/>
        </w:rPr>
        <w:t xml:space="preserve"> mellett. Kiemelt feladatunknak tekintjük, hogy a blokkosodással szembe</w:t>
      </w:r>
      <w:r w:rsidR="00E33867">
        <w:rPr>
          <w:bCs/>
          <w:i/>
          <w:iCs/>
        </w:rPr>
        <w:t>n, egyfajta</w:t>
      </w:r>
      <w:r w:rsidR="0079251E">
        <w:rPr>
          <w:bCs/>
          <w:i/>
          <w:iCs/>
        </w:rPr>
        <w:t xml:space="preserve"> hidat képezzünk</w:t>
      </w:r>
      <w:r w:rsidR="00E33867">
        <w:rPr>
          <w:bCs/>
          <w:i/>
          <w:iCs/>
        </w:rPr>
        <w:t xml:space="preserve"> az egyes régiók és országok</w:t>
      </w:r>
      <w:r w:rsidR="0079251E">
        <w:rPr>
          <w:bCs/>
          <w:i/>
          <w:iCs/>
        </w:rPr>
        <w:t xml:space="preserve"> között</w:t>
      </w:r>
      <w:r w:rsidR="00645190">
        <w:rPr>
          <w:bCs/>
          <w:i/>
          <w:iCs/>
        </w:rPr>
        <w:t xml:space="preserve">. </w:t>
      </w:r>
      <w:r w:rsidR="0079251E" w:rsidRPr="0079251E">
        <w:rPr>
          <w:bCs/>
          <w:i/>
          <w:iCs/>
        </w:rPr>
        <w:t xml:space="preserve">Célunk, hogy előmozdítsuk a </w:t>
      </w:r>
      <w:r w:rsidR="0034027E">
        <w:rPr>
          <w:bCs/>
          <w:i/>
          <w:iCs/>
        </w:rPr>
        <w:t>partnerségen</w:t>
      </w:r>
      <w:r w:rsidR="0079251E" w:rsidRPr="0079251E">
        <w:rPr>
          <w:bCs/>
          <w:i/>
          <w:iCs/>
        </w:rPr>
        <w:t xml:space="preserve"> alapuló szakmai együttműködést és kölcsönös tudásmegosztást</w:t>
      </w:r>
      <w:r w:rsidR="00645190">
        <w:rPr>
          <w:bCs/>
          <w:i/>
          <w:iCs/>
        </w:rPr>
        <w:t xml:space="preserve">” </w:t>
      </w:r>
      <w:r w:rsidR="00645190">
        <w:rPr>
          <w:bCs/>
        </w:rPr>
        <w:t xml:space="preserve">– </w:t>
      </w:r>
      <w:r w:rsidR="00C94F7F">
        <w:rPr>
          <w:bCs/>
        </w:rPr>
        <w:t>húzta alá</w:t>
      </w:r>
      <w:r w:rsidR="00645190">
        <w:rPr>
          <w:bCs/>
        </w:rPr>
        <w:t xml:space="preserve"> GVH elnöke.</w:t>
      </w:r>
    </w:p>
    <w:p w14:paraId="0D2B7E34" w14:textId="6081D274" w:rsidR="005B6671" w:rsidRPr="0034027E" w:rsidRDefault="00207BA4" w:rsidP="0034027E">
      <w:pPr>
        <w:tabs>
          <w:tab w:val="left" w:pos="567"/>
        </w:tabs>
        <w:spacing w:after="120"/>
      </w:pPr>
      <w:r>
        <w:t>A Gazdasági Versenyhivatal kiemelt partnerségi viszonyt ápol a balkáni országok</w:t>
      </w:r>
      <w:r w:rsidR="00C94F7F">
        <w:t>, illetve</w:t>
      </w:r>
      <w:r>
        <w:t xml:space="preserve"> a türk államok versenyhatóságaival is. A</w:t>
      </w:r>
      <w:r w:rsidR="00C94F7F">
        <w:t xml:space="preserve"> magyar</w:t>
      </w:r>
      <w:r>
        <w:t xml:space="preserve"> nemzeti versenyhat</w:t>
      </w:r>
      <w:r w:rsidR="00C94F7F">
        <w:t>ó</w:t>
      </w:r>
      <w:r>
        <w:t>s</w:t>
      </w:r>
      <w:r w:rsidR="00C94F7F">
        <w:t>á</w:t>
      </w:r>
      <w:r>
        <w:t>g 2024</w:t>
      </w:r>
      <w:r w:rsidR="00C94F7F">
        <w:t xml:space="preserve"> januárjában</w:t>
      </w:r>
      <w:r>
        <w:t xml:space="preserve"> – </w:t>
      </w:r>
      <w:r w:rsidR="00C94F7F">
        <w:t xml:space="preserve">illeszkedve </w:t>
      </w:r>
      <w:r w:rsidRPr="00207BA4">
        <w:t xml:space="preserve">Magyarország státuszához a Türk Államok Szervezetében – </w:t>
      </w:r>
      <w:hyperlink r:id="rId8" w:history="1">
        <w:r w:rsidRPr="00C94F7F">
          <w:rPr>
            <w:rStyle w:val="Hiperhivatkozs"/>
          </w:rPr>
          <w:t>megfigyelőként csatlakozott a türk államok versenytanácsához</w:t>
        </w:r>
      </w:hyperlink>
      <w:r w:rsidR="00C94F7F">
        <w:t>, ez év áprilisában pedig kétoldalú</w:t>
      </w:r>
      <w:r w:rsidR="005B6671">
        <w:rPr>
          <w:rFonts w:eastAsiaTheme="majorEastAsia"/>
        </w:rPr>
        <w:t xml:space="preserve"> </w:t>
      </w:r>
      <w:hyperlink r:id="rId9" w:history="1">
        <w:r w:rsidR="005B6671" w:rsidRPr="005B6671">
          <w:rPr>
            <w:rStyle w:val="Hiperhivatkozs"/>
            <w:rFonts w:eastAsiaTheme="majorEastAsia"/>
          </w:rPr>
          <w:t>együttműködési megállapodást</w:t>
        </w:r>
        <w:r w:rsidR="001273C9">
          <w:rPr>
            <w:rStyle w:val="Hiperhivatkozs"/>
            <w:rFonts w:eastAsiaTheme="majorEastAsia"/>
          </w:rPr>
          <w:t xml:space="preserve"> is</w:t>
        </w:r>
        <w:r w:rsidR="005B6671" w:rsidRPr="005B6671">
          <w:rPr>
            <w:rStyle w:val="Hiperhivatkozs"/>
            <w:rFonts w:eastAsiaTheme="majorEastAsia"/>
          </w:rPr>
          <w:t xml:space="preserve"> kötött a Török Versenyhatósággal</w:t>
        </w:r>
      </w:hyperlink>
      <w:r w:rsidR="005B6671">
        <w:rPr>
          <w:rFonts w:eastAsiaTheme="majorEastAsia"/>
        </w:rPr>
        <w:t>.</w:t>
      </w:r>
    </w:p>
    <w:p w14:paraId="0A592369" w14:textId="3ECA0D23" w:rsidR="005B6671" w:rsidRDefault="005B6671" w:rsidP="001273C9">
      <w:pPr>
        <w:tabs>
          <w:tab w:val="left" w:pos="567"/>
        </w:tabs>
        <w:spacing w:after="120"/>
      </w:pPr>
      <w:r>
        <w:rPr>
          <w:rFonts w:eastAsiaTheme="majorEastAsia"/>
        </w:rPr>
        <w:t xml:space="preserve">A </w:t>
      </w:r>
      <w:r w:rsidR="00C94F7F">
        <w:rPr>
          <w:rFonts w:eastAsiaTheme="majorEastAsia"/>
        </w:rPr>
        <w:t xml:space="preserve">GVH </w:t>
      </w:r>
      <w:r>
        <w:rPr>
          <w:rFonts w:eastAsiaTheme="majorEastAsia"/>
        </w:rPr>
        <w:t xml:space="preserve">már közel két évtizede tölt be </w:t>
      </w:r>
      <w:r w:rsidR="0034027E">
        <w:rPr>
          <w:rFonts w:eastAsiaTheme="majorEastAsia"/>
        </w:rPr>
        <w:t xml:space="preserve">katalizátor </w:t>
      </w:r>
      <w:r>
        <w:rPr>
          <w:rFonts w:eastAsiaTheme="majorEastAsia"/>
        </w:rPr>
        <w:t>szerepet a</w:t>
      </w:r>
      <w:r w:rsidR="00207BA4">
        <w:rPr>
          <w:rFonts w:eastAsiaTheme="majorEastAsia"/>
        </w:rPr>
        <w:t xml:space="preserve"> balkáni</w:t>
      </w:r>
      <w:r>
        <w:rPr>
          <w:rFonts w:eastAsiaTheme="majorEastAsia"/>
        </w:rPr>
        <w:t xml:space="preserve"> régió nemzetközi versenypolitikai együttműködéseiben. A </w:t>
      </w:r>
      <w:r w:rsidR="00C94F7F">
        <w:rPr>
          <w:rFonts w:eastAsiaTheme="majorEastAsia"/>
        </w:rPr>
        <w:t>Hivatal</w:t>
      </w:r>
      <w:r>
        <w:rPr>
          <w:rFonts w:eastAsiaTheme="majorEastAsia"/>
        </w:rPr>
        <w:t xml:space="preserve"> és a </w:t>
      </w:r>
      <w:r>
        <w:t>Gazdasági Együttműködési és Fejlesztési Szervezet (OECD) 200</w:t>
      </w:r>
      <w:r w:rsidR="001273C9">
        <w:t>5 óta</w:t>
      </w:r>
      <w:r>
        <w:t xml:space="preserve"> közösen működt</w:t>
      </w:r>
      <w:r w:rsidR="001273C9">
        <w:t>et</w:t>
      </w:r>
      <w:r>
        <w:t xml:space="preserve"> </w:t>
      </w:r>
      <w:hyperlink r:id="rId10" w:history="1">
        <w:r w:rsidRPr="00207BA4">
          <w:rPr>
            <w:rStyle w:val="Hiperhivatkozs"/>
          </w:rPr>
          <w:t>Versenyügyi Regionális Oktatási Központot (ROK)</w:t>
        </w:r>
      </w:hyperlink>
      <w:r w:rsidR="00C94F7F">
        <w:t xml:space="preserve">, </w:t>
      </w:r>
      <w:r w:rsidR="001273C9">
        <w:t>Budapesten</w:t>
      </w:r>
      <w:r>
        <w:t>.</w:t>
      </w:r>
      <w:r w:rsidR="00C00310">
        <w:t xml:space="preserve"> Az oktatási központ az OECD és a GVH szakmai hátterére építve, oktatási és szakmai programok szervezésén keresztül nyújt</w:t>
      </w:r>
      <w:r w:rsidR="0034027E">
        <w:t xml:space="preserve"> támogatást</w:t>
      </w:r>
      <w:r w:rsidR="00C00310">
        <w:t xml:space="preserve"> elsősorban a közép-, kelet- és délkelet-európai országok számára a versenypolitika, versenyjog és a versenykultúra fejlesztése, valamint a versenyhatóságok munkájának elősegítése érdekében, hozzájárulva a kedvezményezett országokban a verseny javításához és ezzel a gazdasági </w:t>
      </w:r>
      <w:r w:rsidR="0034027E">
        <w:t>fejlődéshez.</w:t>
      </w:r>
      <w:r w:rsidR="00C00310">
        <w:t xml:space="preserve"> A ROK révén Magyarország és a GVH vezető szerepet tölt be a régión belül az átmeneti gazdaságok fejlesztésében és technikai segítségnyújtás terén.</w:t>
      </w:r>
    </w:p>
    <w:p w14:paraId="0B198148" w14:textId="6866C09E" w:rsidR="00644B66" w:rsidRDefault="00644B66" w:rsidP="00644B66">
      <w:pPr>
        <w:tabs>
          <w:tab w:val="left" w:pos="567"/>
        </w:tabs>
        <w:spacing w:after="120"/>
      </w:pPr>
      <w:r>
        <w:rPr>
          <w:rFonts w:eastAsiaTheme="majorEastAsia"/>
        </w:rPr>
        <w:lastRenderedPageBreak/>
        <w:t>A budapesti oktatási központnak több kedvezményezettje van, mind a türk államok között (Azerbajdzsán, Kazahsztán és a Kirgizisztán), mind a balkáni térségben (Albánia, Bosznia-Hercegovina, Bulgária, Észak-Macedónia, Koszovó, Montenegró, Románia).</w:t>
      </w:r>
    </w:p>
    <w:p w14:paraId="460246E5" w14:textId="36A5BB36" w:rsidR="00496338" w:rsidRDefault="00496338" w:rsidP="001273C9">
      <w:pPr>
        <w:tabs>
          <w:tab w:val="left" w:pos="567"/>
        </w:tabs>
        <w:spacing w:after="120"/>
        <w:rPr>
          <w:i/>
          <w:iCs/>
        </w:rPr>
      </w:pPr>
      <w:r>
        <w:t>Rigó Csaba Balázs a</w:t>
      </w:r>
      <w:r w:rsidR="001273C9">
        <w:t>z isztambuli</w:t>
      </w:r>
      <w:r>
        <w:t xml:space="preserve"> rendezvényen hangsúlyozta: </w:t>
      </w:r>
      <w:r w:rsidRPr="00496338">
        <w:rPr>
          <w:i/>
          <w:iCs/>
        </w:rPr>
        <w:t>„</w:t>
      </w:r>
      <w:r w:rsidR="001273C9">
        <w:rPr>
          <w:i/>
          <w:iCs/>
        </w:rPr>
        <w:t>A GVH</w:t>
      </w:r>
      <w:r w:rsidRPr="00496338">
        <w:rPr>
          <w:i/>
          <w:iCs/>
        </w:rPr>
        <w:t xml:space="preserve"> </w:t>
      </w:r>
      <w:r w:rsidR="00C94F7F">
        <w:rPr>
          <w:i/>
          <w:iCs/>
        </w:rPr>
        <w:t>mintegy két évtizede</w:t>
      </w:r>
      <w:r w:rsidR="001273C9">
        <w:rPr>
          <w:i/>
          <w:iCs/>
        </w:rPr>
        <w:t xml:space="preserve"> </w:t>
      </w:r>
      <w:r w:rsidR="00C94F7F">
        <w:rPr>
          <w:i/>
          <w:iCs/>
        </w:rPr>
        <w:t xml:space="preserve">a </w:t>
      </w:r>
      <w:r w:rsidR="001273C9">
        <w:rPr>
          <w:i/>
          <w:iCs/>
        </w:rPr>
        <w:t>nyugat-</w:t>
      </w:r>
      <w:r w:rsidRPr="00496338">
        <w:rPr>
          <w:i/>
          <w:iCs/>
        </w:rPr>
        <w:t xml:space="preserve">balkáni versenyhatóságok </w:t>
      </w:r>
      <w:r w:rsidR="00C94F7F">
        <w:rPr>
          <w:i/>
          <w:iCs/>
        </w:rPr>
        <w:t xml:space="preserve">szoros </w:t>
      </w:r>
      <w:r w:rsidR="00D12E39">
        <w:rPr>
          <w:i/>
          <w:iCs/>
        </w:rPr>
        <w:t>szakmai</w:t>
      </w:r>
      <w:r w:rsidRPr="00496338">
        <w:rPr>
          <w:i/>
          <w:iCs/>
        </w:rPr>
        <w:t xml:space="preserve"> partnere, </w:t>
      </w:r>
      <w:r w:rsidR="001273C9">
        <w:rPr>
          <w:i/>
          <w:iCs/>
        </w:rPr>
        <w:t>s ezért elkötelezett abban</w:t>
      </w:r>
      <w:r w:rsidR="00C94F7F">
        <w:rPr>
          <w:i/>
          <w:iCs/>
        </w:rPr>
        <w:t>, hogy</w:t>
      </w:r>
      <w:r w:rsidR="001273C9">
        <w:rPr>
          <w:i/>
          <w:iCs/>
        </w:rPr>
        <w:t xml:space="preserve"> a saját eszközeivel előmozdítsa az érintett országok</w:t>
      </w:r>
      <w:r w:rsidR="00C94F7F">
        <w:rPr>
          <w:i/>
          <w:iCs/>
        </w:rPr>
        <w:t xml:space="preserve"> mielőbbi</w:t>
      </w:r>
      <w:r w:rsidR="001273C9">
        <w:rPr>
          <w:i/>
          <w:iCs/>
        </w:rPr>
        <w:t xml:space="preserve"> csatlakozását az Európai Unióhoz</w:t>
      </w:r>
      <w:r w:rsidRPr="00496338">
        <w:rPr>
          <w:i/>
          <w:iCs/>
        </w:rPr>
        <w:t>.</w:t>
      </w:r>
      <w:r w:rsidR="0034027E">
        <w:rPr>
          <w:i/>
          <w:iCs/>
        </w:rPr>
        <w:t>”</w:t>
      </w:r>
    </w:p>
    <w:p w14:paraId="248E12F0" w14:textId="61D070CB" w:rsidR="00644B66" w:rsidRPr="00D12E39" w:rsidRDefault="00D12E39" w:rsidP="00D12E39">
      <w:pPr>
        <w:tabs>
          <w:tab w:val="left" w:pos="567"/>
        </w:tabs>
        <w:spacing w:after="120"/>
      </w:pPr>
      <w:r w:rsidRPr="00D12E39">
        <w:t>A Gazdasági Versenyhivatal</w:t>
      </w:r>
      <w:r>
        <w:t xml:space="preserve"> – a magyar uniós elnökség hivatalos programjaként – </w:t>
      </w:r>
      <w:hyperlink r:id="rId11" w:history="1">
        <w:r w:rsidRPr="00D12E39">
          <w:rPr>
            <w:rStyle w:val="Hiperhivatkozs"/>
          </w:rPr>
          <w:t>október 22-én Budapesten rendezi meg az 50. Európai Versenynapot</w:t>
        </w:r>
      </w:hyperlink>
      <w:r>
        <w:t xml:space="preserve">. </w:t>
      </w:r>
      <w:hyperlink r:id="rId12" w:history="1">
        <w:r w:rsidRPr="00D12E39">
          <w:rPr>
            <w:rStyle w:val="Hiperhivatkozs"/>
          </w:rPr>
          <w:t>A nemzetközi eseményen a versenyjog legkiválóbb európai és hazai szakemberei vitatják meg</w:t>
        </w:r>
      </w:hyperlink>
      <w:r w:rsidRPr="00D12E39">
        <w:t xml:space="preserve"> a versenyképesség és a fenntarthatóság kapcsolatát a versenypolitikával, a digitális piacokról szóló jogszabály alkalmazásának eddigi tapasztalatait, továbbá a mesterséges intelligencia alkalmazási lehetőségeit, illetve kockázatait.</w:t>
      </w:r>
      <w:r>
        <w:t xml:space="preserve"> A konferenciára a GVH a 27 uniós tagállam mellett, </w:t>
      </w:r>
      <w:r w:rsidR="00644B66">
        <w:t xml:space="preserve">meghívta </w:t>
      </w:r>
      <w:r>
        <w:t>nyolc</w:t>
      </w:r>
      <w:r w:rsidR="00644B66">
        <w:t xml:space="preserve"> tagjelölt ország versenyhatóságát is, melyek közül</w:t>
      </w:r>
      <w:r>
        <w:t xml:space="preserve"> öt</w:t>
      </w:r>
      <w:r w:rsidR="00644B66">
        <w:t xml:space="preserve"> (Albánia, Bosznia-Hercegovina, Észak-Macedónia, Montenegró, Szerbia) a nyugat-balkéni régiót képviseli</w:t>
      </w:r>
      <w:r>
        <w:t xml:space="preserve"> majd.</w:t>
      </w:r>
    </w:p>
    <w:p w14:paraId="46B5F357" w14:textId="2F354F7D" w:rsidR="00361831" w:rsidRPr="009A498E" w:rsidRDefault="00361831" w:rsidP="001273C9">
      <w:pPr>
        <w:tabs>
          <w:tab w:val="left" w:pos="567"/>
        </w:tabs>
        <w:spacing w:after="12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D4523B3" w14:textId="77777777" w:rsidR="00361831" w:rsidRDefault="00361831" w:rsidP="00C94F7F">
      <w:pPr>
        <w:spacing w:after="0"/>
      </w:pPr>
      <w:r>
        <w:t>További információ:</w:t>
      </w:r>
    </w:p>
    <w:p w14:paraId="707774B9" w14:textId="77777777" w:rsidR="00361831" w:rsidRDefault="00361831" w:rsidP="00C94F7F">
      <w:pPr>
        <w:spacing w:after="0"/>
      </w:pPr>
      <w:r>
        <w:t>Horváth Bálint, kommunikációs vezető +36 20 238 6939</w:t>
      </w:r>
    </w:p>
    <w:p w14:paraId="4198A9CE" w14:textId="2B374B8C" w:rsidR="002A426E" w:rsidRDefault="00361831" w:rsidP="00C94F7F">
      <w:pPr>
        <w:spacing w:after="0"/>
      </w:pPr>
      <w:r>
        <w:t>Gondolovics Katalin, sajtószóvivő +36 30 603 1170</w:t>
      </w:r>
    </w:p>
    <w:sectPr w:rsidR="002A426E" w:rsidSect="001273C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57C22" w14:textId="77777777" w:rsidR="00C21161" w:rsidRDefault="00C21161">
      <w:pPr>
        <w:spacing w:after="0" w:line="240" w:lineRule="auto"/>
      </w:pPr>
      <w:r>
        <w:separator/>
      </w:r>
    </w:p>
  </w:endnote>
  <w:endnote w:type="continuationSeparator" w:id="0">
    <w:p w14:paraId="6FCD07BB" w14:textId="77777777" w:rsidR="00C21161" w:rsidRDefault="00C21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B3311F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B3311F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450BB" w14:textId="77777777" w:rsidR="00C21161" w:rsidRDefault="00C21161">
      <w:pPr>
        <w:spacing w:after="0" w:line="240" w:lineRule="auto"/>
      </w:pPr>
      <w:r>
        <w:separator/>
      </w:r>
    </w:p>
  </w:footnote>
  <w:footnote w:type="continuationSeparator" w:id="0">
    <w:p w14:paraId="0FD334E0" w14:textId="77777777" w:rsidR="00C21161" w:rsidRDefault="00C21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2602" w14:textId="0EA55935" w:rsidR="00874C88" w:rsidRDefault="00874C88" w:rsidP="00874C88">
    <w:pPr>
      <w:pStyle w:val="lfej"/>
      <w:ind w:left="0"/>
    </w:pPr>
  </w:p>
  <w:p w14:paraId="785BF5D5" w14:textId="77777777" w:rsidR="00874C88" w:rsidRDefault="00874C8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B3311F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B488C"/>
    <w:multiLevelType w:val="hybridMultilevel"/>
    <w:tmpl w:val="F0B874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A623D"/>
    <w:multiLevelType w:val="hybridMultilevel"/>
    <w:tmpl w:val="190EA7D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761C56"/>
    <w:multiLevelType w:val="hybridMultilevel"/>
    <w:tmpl w:val="9FF4D16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69D27877"/>
    <w:multiLevelType w:val="hybridMultilevel"/>
    <w:tmpl w:val="685A9D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53C3A"/>
    <w:multiLevelType w:val="hybridMultilevel"/>
    <w:tmpl w:val="97E6DC3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7D9A6252"/>
    <w:multiLevelType w:val="hybridMultilevel"/>
    <w:tmpl w:val="4D9E1A0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75516672">
    <w:abstractNumId w:val="4"/>
  </w:num>
  <w:num w:numId="2" w16cid:durableId="1174959768">
    <w:abstractNumId w:val="5"/>
  </w:num>
  <w:num w:numId="3" w16cid:durableId="1307319111">
    <w:abstractNumId w:val="2"/>
  </w:num>
  <w:num w:numId="4" w16cid:durableId="1801730078">
    <w:abstractNumId w:val="1"/>
  </w:num>
  <w:num w:numId="5" w16cid:durableId="1118453029">
    <w:abstractNumId w:val="3"/>
  </w:num>
  <w:num w:numId="6" w16cid:durableId="111104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AF6"/>
    <w:rsid w:val="00055453"/>
    <w:rsid w:val="00057D8B"/>
    <w:rsid w:val="00060528"/>
    <w:rsid w:val="000730F5"/>
    <w:rsid w:val="000C7EC0"/>
    <w:rsid w:val="000D0161"/>
    <w:rsid w:val="000D6B42"/>
    <w:rsid w:val="000E5666"/>
    <w:rsid w:val="000E7621"/>
    <w:rsid w:val="001273C9"/>
    <w:rsid w:val="00166CD3"/>
    <w:rsid w:val="00202D48"/>
    <w:rsid w:val="00206DF4"/>
    <w:rsid w:val="00207BA4"/>
    <w:rsid w:val="00215B31"/>
    <w:rsid w:val="002574F3"/>
    <w:rsid w:val="00293221"/>
    <w:rsid w:val="002A01B5"/>
    <w:rsid w:val="002A0E05"/>
    <w:rsid w:val="002A426E"/>
    <w:rsid w:val="00305981"/>
    <w:rsid w:val="0031572D"/>
    <w:rsid w:val="0034027E"/>
    <w:rsid w:val="00361831"/>
    <w:rsid w:val="00382160"/>
    <w:rsid w:val="003C51E4"/>
    <w:rsid w:val="003E675C"/>
    <w:rsid w:val="00401C7C"/>
    <w:rsid w:val="00424B8A"/>
    <w:rsid w:val="00430D05"/>
    <w:rsid w:val="00491BFC"/>
    <w:rsid w:val="00496338"/>
    <w:rsid w:val="004B1EC2"/>
    <w:rsid w:val="00545903"/>
    <w:rsid w:val="00547605"/>
    <w:rsid w:val="005566B7"/>
    <w:rsid w:val="00592C93"/>
    <w:rsid w:val="005A20C2"/>
    <w:rsid w:val="005A384B"/>
    <w:rsid w:val="005A4856"/>
    <w:rsid w:val="005B31C0"/>
    <w:rsid w:val="005B6671"/>
    <w:rsid w:val="005E13E7"/>
    <w:rsid w:val="005E233D"/>
    <w:rsid w:val="005E7373"/>
    <w:rsid w:val="00626E97"/>
    <w:rsid w:val="00644B66"/>
    <w:rsid w:val="00645190"/>
    <w:rsid w:val="00736F52"/>
    <w:rsid w:val="0079251E"/>
    <w:rsid w:val="007C3D7E"/>
    <w:rsid w:val="008302EE"/>
    <w:rsid w:val="00835934"/>
    <w:rsid w:val="0084703D"/>
    <w:rsid w:val="00874C88"/>
    <w:rsid w:val="00890898"/>
    <w:rsid w:val="008927DB"/>
    <w:rsid w:val="008C44CC"/>
    <w:rsid w:val="00904062"/>
    <w:rsid w:val="00905BBD"/>
    <w:rsid w:val="00916F81"/>
    <w:rsid w:val="00926AF6"/>
    <w:rsid w:val="00933AD1"/>
    <w:rsid w:val="009516FB"/>
    <w:rsid w:val="00972CA9"/>
    <w:rsid w:val="009A498E"/>
    <w:rsid w:val="00A610DF"/>
    <w:rsid w:val="00A715B2"/>
    <w:rsid w:val="00A96E66"/>
    <w:rsid w:val="00AF45D3"/>
    <w:rsid w:val="00B02F46"/>
    <w:rsid w:val="00B0747E"/>
    <w:rsid w:val="00B145A5"/>
    <w:rsid w:val="00B3311F"/>
    <w:rsid w:val="00B6413F"/>
    <w:rsid w:val="00BB087E"/>
    <w:rsid w:val="00C00310"/>
    <w:rsid w:val="00C01B2D"/>
    <w:rsid w:val="00C21161"/>
    <w:rsid w:val="00C27ABF"/>
    <w:rsid w:val="00C41A6E"/>
    <w:rsid w:val="00C64636"/>
    <w:rsid w:val="00C87708"/>
    <w:rsid w:val="00C94F7F"/>
    <w:rsid w:val="00CA2EBA"/>
    <w:rsid w:val="00CD63D8"/>
    <w:rsid w:val="00CD7107"/>
    <w:rsid w:val="00D12E39"/>
    <w:rsid w:val="00D30776"/>
    <w:rsid w:val="00D31443"/>
    <w:rsid w:val="00DB3D50"/>
    <w:rsid w:val="00DC6E83"/>
    <w:rsid w:val="00DC752D"/>
    <w:rsid w:val="00DF4EB0"/>
    <w:rsid w:val="00E33867"/>
    <w:rsid w:val="00E45607"/>
    <w:rsid w:val="00E665BD"/>
    <w:rsid w:val="00EA31B0"/>
    <w:rsid w:val="00EC4637"/>
    <w:rsid w:val="00F0164C"/>
    <w:rsid w:val="00F13997"/>
    <w:rsid w:val="00F22CD6"/>
    <w:rsid w:val="00F24F4F"/>
    <w:rsid w:val="00F8356C"/>
    <w:rsid w:val="00F83B82"/>
    <w:rsid w:val="00FB2FCC"/>
    <w:rsid w:val="00FD1928"/>
    <w:rsid w:val="00FD31ED"/>
    <w:rsid w:val="00FE397C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B1EC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45190"/>
    <w:pPr>
      <w:spacing w:before="100" w:beforeAutospacing="1" w:after="100" w:afterAutospacing="1" w:line="240" w:lineRule="auto"/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megalakult-a-turk-allamok-versenytanacsa-isztambulban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vh.hu/en/gvh/ecd_budapest_202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sajtokozlemenyek/2024-es-sajtokozlemenyek/alig-egy-honap-mulva-budapestre-figyel-majd-az-europai-versenyjogi-kozosse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oecdgvh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4-es-sajtokozlemenyek/egyuttmukodesi-megallapodas-kotott-a-gazdasagi-versenyhivatal-es-a-torok-versenyhatosag-budapeste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675CF-9FD5-4AC9-8776-97227670B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626</Words>
  <Characters>4325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Horváth Bálint dr.</cp:lastModifiedBy>
  <cp:revision>8</cp:revision>
  <dcterms:created xsi:type="dcterms:W3CDTF">2024-09-27T06:30:00Z</dcterms:created>
  <dcterms:modified xsi:type="dcterms:W3CDTF">2024-09-27T15:25:00Z</dcterms:modified>
</cp:coreProperties>
</file>