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85BB" w14:textId="2B7BC338" w:rsidR="002A4BBF" w:rsidRPr="002A4BBF" w:rsidRDefault="002A4BBF" w:rsidP="002A4BBF">
      <w:pPr>
        <w:rPr>
          <w:b/>
          <w:bCs/>
          <w:sz w:val="28"/>
          <w:szCs w:val="28"/>
        </w:rPr>
      </w:pPr>
      <w:r w:rsidRPr="002A4BBF">
        <w:rPr>
          <w:b/>
          <w:bCs/>
          <w:sz w:val="28"/>
          <w:szCs w:val="28"/>
        </w:rPr>
        <w:t>Tüzetesen vizsgálja a GVH a S</w:t>
      </w:r>
      <w:r w:rsidR="005E7D11">
        <w:rPr>
          <w:b/>
          <w:bCs/>
          <w:sz w:val="28"/>
          <w:szCs w:val="28"/>
        </w:rPr>
        <w:t>PAR-</w:t>
      </w:r>
      <w:r w:rsidR="00E720BC">
        <w:rPr>
          <w:b/>
          <w:bCs/>
          <w:sz w:val="28"/>
          <w:szCs w:val="28"/>
        </w:rPr>
        <w:t>t</w:t>
      </w:r>
    </w:p>
    <w:p w14:paraId="4AD7465A" w14:textId="7EAA40CE" w:rsidR="002A4BBF" w:rsidRPr="002A4BBF" w:rsidRDefault="002A4BBF" w:rsidP="002A4BBF">
      <w:pPr>
        <w:rPr>
          <w:b/>
          <w:bCs/>
        </w:rPr>
      </w:pPr>
      <w:r w:rsidRPr="002A4BBF">
        <w:rPr>
          <w:b/>
          <w:bCs/>
        </w:rPr>
        <w:t>Budapest, 2024. szeptember 16. – Utóvizsgálat keretében vizsgálja a Gazdasági Versenyhivatal (GVH) a SPAR Magyarország Kereskedelmi Kft. (Spar) által vállalt kötelezettségek végrehajtását. A kiskereskedelmi cég</w:t>
      </w:r>
      <w:r>
        <w:rPr>
          <w:b/>
          <w:bCs/>
        </w:rPr>
        <w:t xml:space="preserve"> – a GVH 2020 decemberében lezárult vizsgálatában – </w:t>
      </w:r>
      <w:r w:rsidRPr="002A4BBF">
        <w:rPr>
          <w:b/>
          <w:bCs/>
        </w:rPr>
        <w:t>többek között azt vállalta, hogy új, regionális beszállítói rendszert alakít ki, növeli a magyar kistermelő beszállítók értékesítési lehetőségeit, emellett új munkahelyeket is teremt.</w:t>
      </w:r>
      <w:r w:rsidR="007916AA">
        <w:rPr>
          <w:b/>
          <w:bCs/>
        </w:rPr>
        <w:t xml:space="preserve"> A folyamatban lévő eljárás során a GVH azt vizsgálja, hogy a Spar maradéktalanul és határidőben végrehajtotta-e a jóvátételi programban önként vállalt kötelezettségeit.</w:t>
      </w:r>
    </w:p>
    <w:p w14:paraId="3FB2C85B" w14:textId="4A725D18" w:rsidR="002A4BBF" w:rsidRPr="002A4BBF" w:rsidRDefault="005E7D11" w:rsidP="002A4BBF">
      <w:hyperlink r:id="rId8" w:history="1">
        <w:r w:rsidR="002A4BBF" w:rsidRPr="002A4BBF">
          <w:rPr>
            <w:rStyle w:val="Hiperhivatkozs"/>
          </w:rPr>
          <w:t>A 2020 decemberében lezárult vizsgálat</w:t>
        </w:r>
      </w:hyperlink>
      <w:r w:rsidR="002A4BBF" w:rsidRPr="002A4BBF">
        <w:t xml:space="preserve"> során a GVH feltárta, hogy a Spar jogértő beszerzői gyakorlatot alakított ki</w:t>
      </w:r>
      <w:r w:rsidR="002A4BBF">
        <w:t>, valamint</w:t>
      </w:r>
      <w:r w:rsidR="002A4BBF" w:rsidRPr="002A4BBF">
        <w:t xml:space="preserve"> visszaélt jelentős piaci erejével. A GVH megállapította, hogy a S</w:t>
      </w:r>
      <w:r w:rsidR="002A4BBF">
        <w:t>par</w:t>
      </w:r>
      <w:r w:rsidR="002A4BBF" w:rsidRPr="002A4BBF">
        <w:t xml:space="preserve"> bónuszrendszere indokolatlanul és egyoldalúan írt elő díjakat a beszállítóknak azért, hogy termékeik a bolthálózat polcaira kerülhessenek.</w:t>
      </w:r>
    </w:p>
    <w:p w14:paraId="42FB4EE0" w14:textId="0CD8E9F1" w:rsidR="002A4BBF" w:rsidRDefault="002A4BBF" w:rsidP="002A4BBF">
      <w:r w:rsidRPr="002A4BBF">
        <w:t xml:space="preserve">A GVH Versenytanácsa a jogsértések megállapításán túl egy összetett, mintegy 1,7 milliárd forintos kötelezettségvállalási program végrehajtását rendelte </w:t>
      </w:r>
      <w:r>
        <w:t>el</w:t>
      </w:r>
      <w:r w:rsidRPr="002A4BBF">
        <w:t xml:space="preserve"> a cég számára</w:t>
      </w:r>
      <w:r>
        <w:t xml:space="preserve"> az eljárás eredményeként. Ennek része volt teljesen új, korábban nem létező munkahelyek létesítése is.</w:t>
      </w:r>
    </w:p>
    <w:p w14:paraId="5B4C0964" w14:textId="64A6CC50" w:rsidR="002A4BBF" w:rsidRPr="002A4BBF" w:rsidRDefault="002A4BBF" w:rsidP="002A4BBF">
      <w:r w:rsidRPr="002A4BBF">
        <w:t>Spar a versenyhatóság felé</w:t>
      </w:r>
      <w:r>
        <w:t xml:space="preserve"> azt</w:t>
      </w:r>
      <w:r w:rsidRPr="002A4BBF">
        <w:t xml:space="preserve"> vállalta, hogy </w:t>
      </w:r>
      <w:r>
        <w:t>hat</w:t>
      </w:r>
      <w:r w:rsidRPr="002A4BBF">
        <w:t xml:space="preserve"> regionális szállítói központot (Győr, Hódmezővásárhely, Nyíregyháza, Pécs, Székesfehérvár, Zalaegerszeg) alakít ki a</w:t>
      </w:r>
      <w:r w:rsidR="00E720BC">
        <w:t xml:space="preserve"> magyar</w:t>
      </w:r>
      <w:r w:rsidRPr="002A4BBF">
        <w:t xml:space="preserve"> helyi kistermelő beszállítók értékesítési lehetőségeinek növelésére. A</w:t>
      </w:r>
      <w:r>
        <w:t xml:space="preserve"> cég vállalta, hogy a</w:t>
      </w:r>
      <w:r w:rsidRPr="002A4BBF">
        <w:t xml:space="preserve"> regionális rendszer 90%-ban új </w:t>
      </w:r>
      <w:proofErr w:type="spellStart"/>
      <w:r w:rsidRPr="002A4BBF">
        <w:t>mikro</w:t>
      </w:r>
      <w:proofErr w:type="spellEnd"/>
      <w:r w:rsidRPr="002A4BBF">
        <w:t>-, kis- és közepes méretű beszállítóknak juttat lehetőség</w:t>
      </w:r>
      <w:r>
        <w:t>eket.</w:t>
      </w:r>
      <w:r w:rsidRPr="002A4BBF">
        <w:t xml:space="preserve"> Emellett a Spar vállalta</w:t>
      </w:r>
      <w:r>
        <w:t xml:space="preserve"> azt is</w:t>
      </w:r>
      <w:r w:rsidRPr="002A4BBF">
        <w:t>, hogy a minőség-audit, a logisztika, a raktározás, és a marketing területén is oktatással segíti a beszállítók tevékenységét.</w:t>
      </w:r>
    </w:p>
    <w:p w14:paraId="0E04C95E" w14:textId="6972B4F8" w:rsidR="002A4BBF" w:rsidRPr="002A4BBF" w:rsidRDefault="002A4BBF" w:rsidP="002A4BBF">
      <w:r w:rsidRPr="002A4BBF">
        <w:t>A kötelezettségvállalások végrehajtását a nemzeti versenyhatóság minden esetben következetesen és tüzetesen vizsgálja. A GVH ezúton is felhívja a vállalkozások figyelmét, hogy a határozataiban előírt kötelezettségeket pontosan és maradéktalanul szükséges teljesíteni. Hiányos teljesítés vagy elmaradt igazolás esetén a GVH jelentős bírságot szabhat ki az érintett vállalkozásra.</w:t>
      </w:r>
      <w:r w:rsidR="00F13FDC">
        <w:t xml:space="preserve"> Emlékezetes, hogy a magyar versenyhatóság rekord – </w:t>
      </w:r>
      <w:hyperlink r:id="rId9" w:history="1">
        <w:r w:rsidR="00F13FDC" w:rsidRPr="00F00732">
          <w:rPr>
            <w:rStyle w:val="Hiperhivatkozs"/>
          </w:rPr>
          <w:t>közel 400 millió</w:t>
        </w:r>
        <w:r w:rsidR="00F00732" w:rsidRPr="00F00732">
          <w:rPr>
            <w:rStyle w:val="Hiperhivatkozs"/>
          </w:rPr>
          <w:t xml:space="preserve"> forintos</w:t>
        </w:r>
        <w:r w:rsidR="00F13FDC" w:rsidRPr="00F00732">
          <w:rPr>
            <w:rStyle w:val="Hiperhivatkozs"/>
          </w:rPr>
          <w:t xml:space="preserve"> –</w:t>
        </w:r>
        <w:r w:rsidR="00F00732" w:rsidRPr="00F00732">
          <w:rPr>
            <w:rStyle w:val="Hiperhivatkozs"/>
          </w:rPr>
          <w:t xml:space="preserve"> </w:t>
        </w:r>
        <w:r w:rsidR="00F13FDC" w:rsidRPr="00F00732">
          <w:rPr>
            <w:rStyle w:val="Hiperhivatkozs"/>
          </w:rPr>
          <w:t>utóvizsgálati bírságot szabott ki a Booking-ra</w:t>
        </w:r>
      </w:hyperlink>
      <w:r w:rsidR="00F00732">
        <w:t xml:space="preserve"> 2024 júliusában.</w:t>
      </w:r>
    </w:p>
    <w:p w14:paraId="0EBCE871" w14:textId="5AC64FDA" w:rsidR="00F078BC" w:rsidRPr="00F97FB3" w:rsidRDefault="00F078BC" w:rsidP="002A4BBF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7916AA">
        <w:rPr>
          <w:b/>
          <w:bCs/>
        </w:rPr>
        <w:t>32</w:t>
      </w:r>
      <w:r w:rsidRPr="002B7232">
        <w:rPr>
          <w:b/>
          <w:bCs/>
        </w:rPr>
        <w:t>/202</w:t>
      </w:r>
      <w:r w:rsidR="002A4BBF">
        <w:rPr>
          <w:b/>
          <w:bCs/>
        </w:rPr>
        <w:t>4</w:t>
      </w:r>
      <w:r w:rsidRPr="002B7232">
        <w:rPr>
          <w:b/>
          <w:bCs/>
        </w:rPr>
        <w:t>.</w:t>
      </w:r>
    </w:p>
    <w:p w14:paraId="5CF71A68" w14:textId="77777777" w:rsidR="00F078BC" w:rsidRPr="000041A6" w:rsidRDefault="00F078BC" w:rsidP="00947868">
      <w:pPr>
        <w:keepNext/>
        <w:spacing w:before="120" w:after="120"/>
      </w:pPr>
    </w:p>
    <w:p w14:paraId="16D12E9F" w14:textId="77777777" w:rsidR="004328EC" w:rsidRDefault="004328EC" w:rsidP="00A87089">
      <w:pPr>
        <w:spacing w:after="0"/>
        <w:rPr>
          <w:b/>
          <w:bCs/>
        </w:rPr>
      </w:pPr>
    </w:p>
    <w:p w14:paraId="46B5F357" w14:textId="59F89377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99EE" w14:textId="77777777" w:rsidR="007766BA" w:rsidRDefault="007766BA">
      <w:pPr>
        <w:spacing w:after="0" w:line="240" w:lineRule="auto"/>
      </w:pPr>
      <w:r>
        <w:separator/>
      </w:r>
    </w:p>
  </w:endnote>
  <w:endnote w:type="continuationSeparator" w:id="0">
    <w:p w14:paraId="23496E94" w14:textId="77777777" w:rsidR="007766BA" w:rsidRDefault="0077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5D02" w14:textId="77777777" w:rsidR="007766BA" w:rsidRDefault="007766BA">
      <w:pPr>
        <w:spacing w:after="0" w:line="240" w:lineRule="auto"/>
      </w:pPr>
      <w:r>
        <w:separator/>
      </w:r>
    </w:p>
  </w:footnote>
  <w:footnote w:type="continuationSeparator" w:id="0">
    <w:p w14:paraId="2D610422" w14:textId="77777777" w:rsidR="007766BA" w:rsidRDefault="0077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90448">
    <w:abstractNumId w:val="3"/>
  </w:num>
  <w:num w:numId="2" w16cid:durableId="1899393244">
    <w:abstractNumId w:val="0"/>
  </w:num>
  <w:num w:numId="3" w16cid:durableId="1253709111">
    <w:abstractNumId w:val="2"/>
  </w:num>
  <w:num w:numId="4" w16cid:durableId="55817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53FAF"/>
    <w:rsid w:val="00055453"/>
    <w:rsid w:val="00057D8B"/>
    <w:rsid w:val="0009552C"/>
    <w:rsid w:val="000C11C5"/>
    <w:rsid w:val="000C16F7"/>
    <w:rsid w:val="000C195B"/>
    <w:rsid w:val="000D02B9"/>
    <w:rsid w:val="000F67F0"/>
    <w:rsid w:val="001215EE"/>
    <w:rsid w:val="00132E77"/>
    <w:rsid w:val="001407FC"/>
    <w:rsid w:val="001431B4"/>
    <w:rsid w:val="00167BF7"/>
    <w:rsid w:val="001A2273"/>
    <w:rsid w:val="001A31BE"/>
    <w:rsid w:val="001B7AA9"/>
    <w:rsid w:val="001C7C4E"/>
    <w:rsid w:val="001E0718"/>
    <w:rsid w:val="00202D48"/>
    <w:rsid w:val="00206DF4"/>
    <w:rsid w:val="002574F3"/>
    <w:rsid w:val="00274661"/>
    <w:rsid w:val="002807BC"/>
    <w:rsid w:val="00296DAA"/>
    <w:rsid w:val="002A0E05"/>
    <w:rsid w:val="002A426E"/>
    <w:rsid w:val="002A4BBF"/>
    <w:rsid w:val="002A4F48"/>
    <w:rsid w:val="002A5C8B"/>
    <w:rsid w:val="002D7A9E"/>
    <w:rsid w:val="002E0749"/>
    <w:rsid w:val="00305557"/>
    <w:rsid w:val="00331DA9"/>
    <w:rsid w:val="00361831"/>
    <w:rsid w:val="00370F1F"/>
    <w:rsid w:val="003C4354"/>
    <w:rsid w:val="003C51E4"/>
    <w:rsid w:val="003D38C6"/>
    <w:rsid w:val="003D7552"/>
    <w:rsid w:val="003E675C"/>
    <w:rsid w:val="003F10DE"/>
    <w:rsid w:val="0040671E"/>
    <w:rsid w:val="00424B8A"/>
    <w:rsid w:val="00430D05"/>
    <w:rsid w:val="004328EC"/>
    <w:rsid w:val="004413B5"/>
    <w:rsid w:val="00463C33"/>
    <w:rsid w:val="00491BFC"/>
    <w:rsid w:val="004B3DBB"/>
    <w:rsid w:val="004C2D30"/>
    <w:rsid w:val="004C64BF"/>
    <w:rsid w:val="00545903"/>
    <w:rsid w:val="005566B7"/>
    <w:rsid w:val="005A1B06"/>
    <w:rsid w:val="005A384B"/>
    <w:rsid w:val="005A4856"/>
    <w:rsid w:val="005B31C0"/>
    <w:rsid w:val="005E13E7"/>
    <w:rsid w:val="005E7373"/>
    <w:rsid w:val="005E7D11"/>
    <w:rsid w:val="00617061"/>
    <w:rsid w:val="00626E97"/>
    <w:rsid w:val="006368CF"/>
    <w:rsid w:val="00662D35"/>
    <w:rsid w:val="00674402"/>
    <w:rsid w:val="006B1F51"/>
    <w:rsid w:val="006B4B0A"/>
    <w:rsid w:val="006B5E56"/>
    <w:rsid w:val="006E0D5A"/>
    <w:rsid w:val="006F4B6A"/>
    <w:rsid w:val="006F5A28"/>
    <w:rsid w:val="0071620B"/>
    <w:rsid w:val="0072038E"/>
    <w:rsid w:val="00721117"/>
    <w:rsid w:val="00721F53"/>
    <w:rsid w:val="00736F52"/>
    <w:rsid w:val="0073744B"/>
    <w:rsid w:val="00756B86"/>
    <w:rsid w:val="007766BA"/>
    <w:rsid w:val="00781F02"/>
    <w:rsid w:val="007916AA"/>
    <w:rsid w:val="007954CC"/>
    <w:rsid w:val="007C02EC"/>
    <w:rsid w:val="007C3BEA"/>
    <w:rsid w:val="007C6DFA"/>
    <w:rsid w:val="00811EE1"/>
    <w:rsid w:val="00825A2A"/>
    <w:rsid w:val="008302EE"/>
    <w:rsid w:val="00832B9F"/>
    <w:rsid w:val="00835934"/>
    <w:rsid w:val="0087664C"/>
    <w:rsid w:val="008872CD"/>
    <w:rsid w:val="008927DB"/>
    <w:rsid w:val="008C44CC"/>
    <w:rsid w:val="00904062"/>
    <w:rsid w:val="00905BBD"/>
    <w:rsid w:val="00933AD1"/>
    <w:rsid w:val="0094208B"/>
    <w:rsid w:val="00947868"/>
    <w:rsid w:val="00956CBA"/>
    <w:rsid w:val="00981556"/>
    <w:rsid w:val="009C2511"/>
    <w:rsid w:val="009C378E"/>
    <w:rsid w:val="009D5FBA"/>
    <w:rsid w:val="009F6C0F"/>
    <w:rsid w:val="00A431F4"/>
    <w:rsid w:val="00A444F7"/>
    <w:rsid w:val="00A46E67"/>
    <w:rsid w:val="00A5193E"/>
    <w:rsid w:val="00A577FC"/>
    <w:rsid w:val="00A715B2"/>
    <w:rsid w:val="00A87089"/>
    <w:rsid w:val="00A87DC9"/>
    <w:rsid w:val="00A96E66"/>
    <w:rsid w:val="00AB23A7"/>
    <w:rsid w:val="00AF57BF"/>
    <w:rsid w:val="00B210A8"/>
    <w:rsid w:val="00B44630"/>
    <w:rsid w:val="00B5060B"/>
    <w:rsid w:val="00B6413F"/>
    <w:rsid w:val="00B85494"/>
    <w:rsid w:val="00BC4099"/>
    <w:rsid w:val="00C72051"/>
    <w:rsid w:val="00C72C9D"/>
    <w:rsid w:val="00C87708"/>
    <w:rsid w:val="00CA2EBA"/>
    <w:rsid w:val="00CB0005"/>
    <w:rsid w:val="00CB142A"/>
    <w:rsid w:val="00CD63D8"/>
    <w:rsid w:val="00D00DA5"/>
    <w:rsid w:val="00D213C7"/>
    <w:rsid w:val="00D31443"/>
    <w:rsid w:val="00D800AE"/>
    <w:rsid w:val="00DB3DAF"/>
    <w:rsid w:val="00DB780D"/>
    <w:rsid w:val="00DF35CB"/>
    <w:rsid w:val="00E04BCF"/>
    <w:rsid w:val="00E33ACD"/>
    <w:rsid w:val="00E45607"/>
    <w:rsid w:val="00E45E74"/>
    <w:rsid w:val="00E665BD"/>
    <w:rsid w:val="00E720BC"/>
    <w:rsid w:val="00EC4637"/>
    <w:rsid w:val="00ED7C29"/>
    <w:rsid w:val="00EE08F1"/>
    <w:rsid w:val="00EE0B58"/>
    <w:rsid w:val="00EE2BC8"/>
    <w:rsid w:val="00F00732"/>
    <w:rsid w:val="00F078BC"/>
    <w:rsid w:val="00F13997"/>
    <w:rsid w:val="00F13FDC"/>
    <w:rsid w:val="00F22CD6"/>
    <w:rsid w:val="00F261FE"/>
    <w:rsid w:val="00F46BEA"/>
    <w:rsid w:val="00F67C62"/>
    <w:rsid w:val="00F77CA3"/>
    <w:rsid w:val="00F833A1"/>
    <w:rsid w:val="00F96ED4"/>
    <w:rsid w:val="00FA1F0A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,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,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preview/sajtoszoba/sajtokozlemenyek/2020-as-sajtokozlemenyek/birsag-helyett-fejleszthet-a-spar-uj-lehetoseg-a-helyi-kistermelokn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rekordbirsag-kozel-400-millio-forintra-buntette-a-gvh-a-booking-o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2024-09-16T09:47:00Z</dcterms:created>
  <dcterms:modified xsi:type="dcterms:W3CDTF">2024-09-16T09:47:00Z</dcterms:modified>
</cp:coreProperties>
</file>