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2F86" w14:textId="6756AF12" w:rsidR="00F833A1" w:rsidRDefault="00AC4C7E" w:rsidP="00AC4C7E">
      <w:pPr>
        <w:spacing w:before="120" w:after="120" w:line="240" w:lineRule="auto"/>
        <w:ind w:left="199" w:firstLine="708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Pénzügyi döntést hozna? Erre mindenképpen figyeljen oda!</w:t>
      </w:r>
    </w:p>
    <w:p w14:paraId="73D55FCC" w14:textId="3E8A64BD" w:rsidR="00F833A1" w:rsidRPr="00F833A1" w:rsidRDefault="00F564DE" w:rsidP="004F34FA">
      <w:pPr>
        <w:spacing w:before="120" w:after="12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A GVH azt tanácsolja a fogyasztóknak, hogy </w:t>
      </w:r>
      <w:r w:rsidR="00AC4C7E">
        <w:rPr>
          <w:b/>
          <w:bCs/>
          <w:i/>
          <w:iCs/>
        </w:rPr>
        <w:t>g</w:t>
      </w:r>
      <w:r>
        <w:rPr>
          <w:b/>
          <w:bCs/>
          <w:i/>
          <w:iCs/>
        </w:rPr>
        <w:t>ondoljá</w:t>
      </w:r>
      <w:r w:rsidR="00C17B7A">
        <w:rPr>
          <w:b/>
          <w:bCs/>
          <w:i/>
          <w:iCs/>
        </w:rPr>
        <w:t>k</w:t>
      </w:r>
      <w:r>
        <w:rPr>
          <w:b/>
          <w:bCs/>
          <w:i/>
          <w:iCs/>
        </w:rPr>
        <w:t xml:space="preserve"> </w:t>
      </w:r>
      <w:r w:rsidR="00AC4C7E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égig </w:t>
      </w:r>
      <w:r w:rsidR="00AC4C7E">
        <w:rPr>
          <w:b/>
          <w:bCs/>
          <w:i/>
          <w:iCs/>
        </w:rPr>
        <w:t>h</w:t>
      </w:r>
      <w:r>
        <w:rPr>
          <w:b/>
          <w:bCs/>
          <w:i/>
          <w:iCs/>
        </w:rPr>
        <w:t>iggadtan a pénzügyeikkel kapcsolatos döntéseiket</w:t>
      </w:r>
      <w:r w:rsidR="00AC4C7E">
        <w:rPr>
          <w:b/>
          <w:bCs/>
          <w:i/>
          <w:iCs/>
        </w:rPr>
        <w:t xml:space="preserve"> és</w:t>
      </w:r>
      <w:r>
        <w:rPr>
          <w:b/>
          <w:bCs/>
          <w:i/>
          <w:iCs/>
        </w:rPr>
        <w:t xml:space="preserve"> több forrásból is tájékozódjanak</w:t>
      </w:r>
    </w:p>
    <w:p w14:paraId="0F27B044" w14:textId="65841BFB" w:rsidR="00F564DE" w:rsidRPr="00AC4C7E" w:rsidRDefault="00361831" w:rsidP="00B06BCC">
      <w:pPr>
        <w:spacing w:after="120" w:line="240" w:lineRule="auto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1A31BE">
        <w:rPr>
          <w:b/>
        </w:rPr>
        <w:t>szeptember</w:t>
      </w:r>
      <w:r w:rsidR="00B06BCC">
        <w:rPr>
          <w:b/>
        </w:rPr>
        <w:t xml:space="preserve"> 13.</w:t>
      </w:r>
      <w:r w:rsidR="006F5A28">
        <w:rPr>
          <w:b/>
        </w:rPr>
        <w:t xml:space="preserve"> –</w:t>
      </w:r>
      <w:r w:rsidR="00AC4C7E">
        <w:rPr>
          <w:b/>
        </w:rPr>
        <w:t xml:space="preserve"> Kik azok a finfluenszerek és milyen tevékenységet végeznek? Hogyan képesek befolyásolni a fogyasztókat, és milyen kockázatokat rejthet a tevékenységük?</w:t>
      </w:r>
      <w:r w:rsidR="006F5A28">
        <w:rPr>
          <w:b/>
        </w:rPr>
        <w:t xml:space="preserve"> </w:t>
      </w:r>
      <w:r w:rsidR="00AC4C7E">
        <w:rPr>
          <w:b/>
        </w:rPr>
        <w:t xml:space="preserve">Többek között ezekre a kérdésekre is választ ad a Gazdasági Versenyhivatal (GVH) legújabb tájékoztatója. A versenyhatóság a </w:t>
      </w:r>
      <w:hyperlink r:id="rId7" w:history="1">
        <w:r w:rsidR="00AC4C7E" w:rsidRPr="001C488C">
          <w:rPr>
            <w:rStyle w:val="Hiperhivatkozs"/>
            <w:b/>
          </w:rPr>
          <w:t>Gondolja Végig Higgadtan</w:t>
        </w:r>
      </w:hyperlink>
      <w:r w:rsidR="00AC4C7E">
        <w:rPr>
          <w:b/>
        </w:rPr>
        <w:t xml:space="preserve"> információs sorozatában most a </w:t>
      </w:r>
      <w:proofErr w:type="spellStart"/>
      <w:r w:rsidR="00F564DE" w:rsidRPr="00865EC7">
        <w:rPr>
          <w:b/>
          <w:bCs/>
        </w:rPr>
        <w:t>finfluenszerekre</w:t>
      </w:r>
      <w:proofErr w:type="spellEnd"/>
      <w:r w:rsidR="00AC4C7E">
        <w:rPr>
          <w:b/>
          <w:bCs/>
        </w:rPr>
        <w:t>, vagyis</w:t>
      </w:r>
      <w:r w:rsidR="00F564DE" w:rsidRPr="00865EC7">
        <w:rPr>
          <w:b/>
          <w:bCs/>
        </w:rPr>
        <w:t xml:space="preserve"> azokra az influenszerekre</w:t>
      </w:r>
      <w:r w:rsidR="00AC4C7E">
        <w:rPr>
          <w:b/>
          <w:bCs/>
        </w:rPr>
        <w:t xml:space="preserve"> </w:t>
      </w:r>
      <w:r w:rsidR="00262EF5">
        <w:rPr>
          <w:b/>
          <w:bCs/>
        </w:rPr>
        <w:t>hívja fel</w:t>
      </w:r>
      <w:r w:rsidR="00D70327">
        <w:rPr>
          <w:b/>
          <w:bCs/>
        </w:rPr>
        <w:t xml:space="preserve"> </w:t>
      </w:r>
      <w:r w:rsidR="00AC4C7E">
        <w:rPr>
          <w:b/>
          <w:bCs/>
        </w:rPr>
        <w:t xml:space="preserve">a </w:t>
      </w:r>
      <w:r w:rsidR="00262EF5">
        <w:rPr>
          <w:b/>
          <w:bCs/>
        </w:rPr>
        <w:t xml:space="preserve">fogyasztók </w:t>
      </w:r>
      <w:r w:rsidR="00AC4C7E">
        <w:rPr>
          <w:b/>
          <w:bCs/>
        </w:rPr>
        <w:t>figyelm</w:t>
      </w:r>
      <w:r w:rsidR="00262EF5">
        <w:rPr>
          <w:b/>
          <w:bCs/>
        </w:rPr>
        <w:t>é</w:t>
      </w:r>
      <w:r w:rsidR="00AC4C7E">
        <w:rPr>
          <w:b/>
          <w:bCs/>
        </w:rPr>
        <w:t>t</w:t>
      </w:r>
      <w:r w:rsidR="00F564DE" w:rsidRPr="00865EC7">
        <w:rPr>
          <w:b/>
          <w:bCs/>
        </w:rPr>
        <w:t>, akik a közösségi média felületeiken különböző pénzügyi eszközöket</w:t>
      </w:r>
      <w:r w:rsidR="00316580">
        <w:rPr>
          <w:b/>
          <w:bCs/>
        </w:rPr>
        <w:t>, szolgáltatásokat</w:t>
      </w:r>
      <w:r w:rsidR="00F564DE" w:rsidRPr="00865EC7">
        <w:rPr>
          <w:b/>
          <w:bCs/>
        </w:rPr>
        <w:t xml:space="preserve"> népszerűsítenek.</w:t>
      </w:r>
    </w:p>
    <w:p w14:paraId="22B04276" w14:textId="26248CD2" w:rsidR="00D041EC" w:rsidRPr="00865EC7" w:rsidRDefault="00D041EC" w:rsidP="00D041EC">
      <w:pPr>
        <w:spacing w:after="120" w:line="240" w:lineRule="auto"/>
      </w:pPr>
      <w:r>
        <w:t>A Gazdasági Versenyhivatal tapasztalata</w:t>
      </w:r>
      <w:r w:rsidR="00AC4C7E">
        <w:t>i</w:t>
      </w:r>
      <w:r>
        <w:t xml:space="preserve"> szerint egyre gyakrabban találkozhatnak a </w:t>
      </w:r>
      <w:r w:rsidRPr="00865EC7">
        <w:t xml:space="preserve">fogyasztók </w:t>
      </w:r>
      <w:r>
        <w:t xml:space="preserve">a digitális térben </w:t>
      </w:r>
      <w:r w:rsidRPr="00865EC7">
        <w:t xml:space="preserve">olyan </w:t>
      </w:r>
      <w:r>
        <w:t>tartalmakkal,</w:t>
      </w:r>
      <w:r w:rsidRPr="00865EC7">
        <w:t xml:space="preserve"> am</w:t>
      </w:r>
      <w:r>
        <w:t>elyekben</w:t>
      </w:r>
      <w:r w:rsidRPr="00865EC7">
        <w:t xml:space="preserve"> összetett pénzügyi termékekre</w:t>
      </w:r>
      <w:r w:rsidR="00262EF5">
        <w:t>/szolgáltatásokra</w:t>
      </w:r>
      <w:r w:rsidR="00AC4C7E">
        <w:t>,</w:t>
      </w:r>
      <w:r>
        <w:t xml:space="preserve"> vagy a manapság</w:t>
      </w:r>
      <w:r w:rsidR="00AC4C7E">
        <w:t xml:space="preserve"> oly</w:t>
      </w:r>
      <w:r>
        <w:t xml:space="preserve"> divatos </w:t>
      </w:r>
      <w:proofErr w:type="spellStart"/>
      <w:r>
        <w:t>kriptovalutákra</w:t>
      </w:r>
      <w:proofErr w:type="spellEnd"/>
      <w:r w:rsidRPr="00865EC7">
        <w:t xml:space="preserve"> vonatkozó reklám, promóció hangzik el esetlegesen pénzügyi, befektetési tanác</w:t>
      </w:r>
      <w:r w:rsidR="00AC4C7E">
        <w:t>sokkal</w:t>
      </w:r>
      <w:r w:rsidRPr="00865EC7">
        <w:t xml:space="preserve"> összekapcsolva. </w:t>
      </w:r>
    </w:p>
    <w:p w14:paraId="64BAA3A1" w14:textId="4C01AAE1" w:rsidR="004F34FA" w:rsidRDefault="00AC4C7E" w:rsidP="00F564DE">
      <w:pPr>
        <w:tabs>
          <w:tab w:val="left" w:pos="567"/>
        </w:tabs>
        <w:spacing w:before="120" w:after="120" w:line="240" w:lineRule="auto"/>
      </w:pPr>
      <w:r>
        <w:t>Nagyon fontos, hogy a</w:t>
      </w:r>
      <w:r w:rsidR="00D041EC">
        <w:t xml:space="preserve"> </w:t>
      </w:r>
      <w:r w:rsidR="00D041EC" w:rsidRPr="003C09CC">
        <w:t>pénzügyi termékeket</w:t>
      </w:r>
      <w:r w:rsidR="00262EF5">
        <w:t xml:space="preserve"> és szolgáltatásokat</w:t>
      </w:r>
      <w:r w:rsidR="00D041EC" w:rsidRPr="003C09CC">
        <w:t xml:space="preserve"> reklámozó influenszer</w:t>
      </w:r>
      <w:r w:rsidR="00D041EC">
        <w:t>ek, vagy</w:t>
      </w:r>
      <w:r>
        <w:t>is</w:t>
      </w:r>
      <w:r w:rsidR="00D041EC">
        <w:t xml:space="preserve"> fin</w:t>
      </w:r>
      <w:r w:rsidR="0027539F">
        <w:t>f</w:t>
      </w:r>
      <w:r w:rsidR="00D041EC">
        <w:t>luenszerek hirdetés</w:t>
      </w:r>
      <w:r>
        <w:t>e</w:t>
      </w:r>
      <w:r w:rsidR="00D041EC">
        <w:t xml:space="preserve">ire is </w:t>
      </w:r>
      <w:r w:rsidR="00D041EC" w:rsidRPr="00865EC7">
        <w:t>érvényes az a szabály, hogyha az általuk készített tartalmakért ellenszolgáltatásban részesülnek, akkor azt egyértelműen jelezniük kell. Ebben az esetben ugyanis ajánlásaik nem tekinthetőek teljesen objektívnek és függetlennek, mivel azok mögött</w:t>
      </w:r>
      <w:r>
        <w:t xml:space="preserve"> egyértelmű</w:t>
      </w:r>
      <w:r w:rsidR="00D041EC" w:rsidRPr="00865EC7">
        <w:t xml:space="preserve"> üzleti </w:t>
      </w:r>
      <w:r w:rsidR="00D041EC">
        <w:t xml:space="preserve">érdek </w:t>
      </w:r>
      <w:r w:rsidR="00D041EC" w:rsidRPr="00865EC7">
        <w:t>áll.</w:t>
      </w:r>
    </w:p>
    <w:p w14:paraId="34566215" w14:textId="3A5FA0D9" w:rsidR="004F34FA" w:rsidRPr="00B06BCC" w:rsidRDefault="004F34FA" w:rsidP="004F34FA">
      <w:pPr>
        <w:pStyle w:val="NormlWeb"/>
        <w:shd w:val="clear" w:color="auto" w:fill="FFFFFF"/>
        <w:spacing w:before="120" w:beforeAutospacing="0" w:after="120" w:afterAutospacing="0"/>
        <w:ind w:left="907"/>
        <w:jc w:val="both"/>
        <w:textAlignment w:val="baseline"/>
        <w:rPr>
          <w:color w:val="000000" w:themeColor="text1"/>
        </w:rPr>
      </w:pPr>
      <w:r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>A GVH</w:t>
      </w:r>
      <w:r w:rsidR="00AC4C7E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 xml:space="preserve"> ezúton</w:t>
      </w:r>
      <w:r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 xml:space="preserve"> felhívja a</w:t>
      </w:r>
      <w:r w:rsidR="00D041EC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 xml:space="preserve"> fin</w:t>
      </w:r>
      <w:r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>fluenszerek, illetve az érintett ügynökségek és a hirdetők figyelmét</w:t>
      </w:r>
      <w:r w:rsidRPr="00B06BCC">
        <w:rPr>
          <w:color w:val="000000" w:themeColor="text1"/>
        </w:rPr>
        <w:t> is a jogkövető magatartás fontosságára, többek között a fizetett, promóciós tartalmak reklámjellegének feltüntetésére.</w:t>
      </w:r>
    </w:p>
    <w:p w14:paraId="70FD9AAA" w14:textId="097DF0C9" w:rsidR="004F34FA" w:rsidRPr="00B06BCC" w:rsidRDefault="00262EF5" w:rsidP="004F34FA">
      <w:pPr>
        <w:pStyle w:val="NormlWeb"/>
        <w:shd w:val="clear" w:color="auto" w:fill="FFFFFF"/>
        <w:spacing w:before="120" w:beforeAutospacing="0" w:after="120" w:afterAutospacing="0"/>
        <w:ind w:left="907"/>
        <w:jc w:val="both"/>
        <w:textAlignment w:val="baseline"/>
        <w:rPr>
          <w:color w:val="000000" w:themeColor="text1"/>
        </w:rPr>
      </w:pPr>
      <w:r w:rsidRPr="00B06BCC">
        <w:rPr>
          <w:color w:val="000000" w:themeColor="text1"/>
        </w:rPr>
        <w:t>F</w:t>
      </w:r>
      <w:r w:rsidR="00AC4C7E" w:rsidRPr="00B06BCC">
        <w:rPr>
          <w:color w:val="000000" w:themeColor="text1"/>
        </w:rPr>
        <w:t>őszabály szerint a</w:t>
      </w:r>
      <w:r w:rsidR="004F34FA" w:rsidRPr="00B06BCC">
        <w:rPr>
          <w:color w:val="000000" w:themeColor="text1"/>
        </w:rPr>
        <w:t xml:space="preserve"> tartalmak </w:t>
      </w:r>
      <w:proofErr w:type="spellStart"/>
      <w:r w:rsidR="004F34FA" w:rsidRPr="00B06BCC">
        <w:rPr>
          <w:color w:val="000000" w:themeColor="text1"/>
        </w:rPr>
        <w:t>közzétevőinek</w:t>
      </w:r>
      <w:proofErr w:type="spellEnd"/>
      <w:r w:rsidR="004F34FA" w:rsidRPr="00B06BCC">
        <w:rPr>
          <w:color w:val="000000" w:themeColor="text1"/>
        </w:rPr>
        <w:t xml:space="preserve"> többek között</w:t>
      </w:r>
      <w:r w:rsidR="004F34FA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 xml:space="preserve"> jól észlelhetően, hangsúlyosan, </w:t>
      </w:r>
      <w:proofErr w:type="spellStart"/>
      <w:r w:rsidR="004F34FA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>szembetűnően</w:t>
      </w:r>
      <w:proofErr w:type="spellEnd"/>
      <w:r w:rsidR="004F34FA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>, egyszerűen, egyértelműen és közérthetően </w:t>
      </w:r>
      <w:r w:rsidR="004F34FA" w:rsidRPr="00B06BCC">
        <w:rPr>
          <w:color w:val="000000" w:themeColor="text1"/>
        </w:rPr>
        <w:t>szükséges feltüntetniük, hogy a közzétett tartalomért ellenszolgáltatásban részesültek. Ezt megtehetik a platform által felajánlott címkézési lehetőséggel vagy (címkézés helyett) a szöveges leírásban, a szöveg elején feltüntetett magyar nyelvű utalással. Fontos, hogy ez</w:t>
      </w:r>
      <w:r w:rsidR="008672BD" w:rsidRPr="00B06BCC">
        <w:rPr>
          <w:color w:val="000000" w:themeColor="text1"/>
        </w:rPr>
        <w:t>eket a szabályokat kell alkalmazni</w:t>
      </w:r>
      <w:r w:rsidR="004F34FA" w:rsidRPr="00B06BCC">
        <w:rPr>
          <w:color w:val="000000" w:themeColor="text1"/>
        </w:rPr>
        <w:t xml:space="preserve"> abban az esetben is, ha a véleményvezér az egyes megjelenésekben </w:t>
      </w:r>
      <w:r w:rsidR="004F34FA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>saját</w:t>
      </w:r>
      <w:r w:rsidR="00CD4963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4F34FA" w:rsidRPr="00B06BCC">
        <w:rPr>
          <w:rStyle w:val="Kiemels2"/>
          <w:b w:val="0"/>
          <w:bCs w:val="0"/>
          <w:color w:val="000000" w:themeColor="text1"/>
          <w:bdr w:val="none" w:sz="0" w:space="0" w:color="auto" w:frame="1"/>
        </w:rPr>
        <w:t>vállalkozását, saját termékeit vagy szolgáltatásait népszerűsíti.</w:t>
      </w:r>
    </w:p>
    <w:p w14:paraId="4C236032" w14:textId="438056A2" w:rsidR="004F34FA" w:rsidRPr="00A70359" w:rsidRDefault="004F34FA" w:rsidP="004F34FA">
      <w:pPr>
        <w:pStyle w:val="NormlWeb"/>
        <w:shd w:val="clear" w:color="auto" w:fill="FFFFFF"/>
        <w:spacing w:before="120" w:beforeAutospacing="0" w:after="120" w:afterAutospacing="0"/>
        <w:ind w:left="907"/>
        <w:jc w:val="both"/>
        <w:textAlignment w:val="baseline"/>
        <w:rPr>
          <w:color w:val="333333"/>
        </w:rPr>
      </w:pPr>
      <w:r w:rsidRPr="00A70359">
        <w:rPr>
          <w:rStyle w:val="Kiemels2"/>
          <w:b w:val="0"/>
          <w:bCs w:val="0"/>
          <w:color w:val="363636"/>
          <w:bdr w:val="none" w:sz="0" w:space="0" w:color="auto" w:frame="1"/>
        </w:rPr>
        <w:t>A GVH az elmúlt években nagy hangsúlyt helyezett arra, hogy naprakész gyakorlati tanácsokkal segítse a piaci szereplőket jogkövető magatartásuk kialakításában.</w:t>
      </w:r>
      <w:r w:rsidRPr="00A70359">
        <w:rPr>
          <w:color w:val="333333"/>
        </w:rPr>
        <w:t> Ezzel összefüggésben a nemzeti versenyhatóság</w:t>
      </w:r>
      <w:r w:rsidR="00AC4C7E">
        <w:rPr>
          <w:color w:val="333333"/>
        </w:rPr>
        <w:t xml:space="preserve"> ezúton is a</w:t>
      </w:r>
      <w:r w:rsidRPr="00A70359">
        <w:rPr>
          <w:color w:val="333333"/>
        </w:rPr>
        <w:t xml:space="preserve"> véleményvezérek figyelmébe ajánlja a</w:t>
      </w:r>
      <w:r w:rsidR="00D041EC">
        <w:rPr>
          <w:color w:val="333333"/>
        </w:rPr>
        <w:t>z</w:t>
      </w:r>
      <w:r w:rsidRPr="00A70359">
        <w:rPr>
          <w:color w:val="333333"/>
        </w:rPr>
        <w:t xml:space="preserve"> </w:t>
      </w:r>
      <w:hyperlink r:id="rId8" w:history="1">
        <w:proofErr w:type="spellStart"/>
        <w:r w:rsidRPr="00C17B7A">
          <w:rPr>
            <w:rStyle w:val="Hiperhivatkozs"/>
            <w:color w:val="0000FF"/>
            <w:bdr w:val="none" w:sz="0" w:space="0" w:color="auto" w:frame="1"/>
          </w:rPr>
          <w:t>influenszer</w:t>
        </w:r>
        <w:proofErr w:type="spellEnd"/>
        <w:r w:rsidRPr="00C17B7A">
          <w:rPr>
            <w:rStyle w:val="Hiperhivatkozs"/>
            <w:color w:val="0000FF"/>
            <w:bdr w:val="none" w:sz="0" w:space="0" w:color="auto" w:frame="1"/>
          </w:rPr>
          <w:t xml:space="preserve"> marketing tájékoztatóját</w:t>
        </w:r>
      </w:hyperlink>
      <w:r w:rsidRPr="00A70359">
        <w:rPr>
          <w:color w:val="333333"/>
        </w:rPr>
        <w:t>, amely gyakorlat-központúan, pozitív és negatív példák szemléltetésével mutatja be, miként lehet jogszerűen eleget tenni a fogyasztók tájékoztatását biztosító elvárásoknak.</w:t>
      </w:r>
    </w:p>
    <w:p w14:paraId="042E427F" w14:textId="057196DB" w:rsidR="004F34FA" w:rsidRDefault="004F34FA" w:rsidP="004F34FA">
      <w:pPr>
        <w:pStyle w:val="NormlWeb"/>
        <w:shd w:val="clear" w:color="auto" w:fill="FFFFFF"/>
        <w:spacing w:before="120" w:beforeAutospacing="0" w:after="120" w:afterAutospacing="0"/>
        <w:ind w:left="907"/>
        <w:jc w:val="both"/>
        <w:textAlignment w:val="baseline"/>
        <w:rPr>
          <w:color w:val="333333"/>
        </w:rPr>
      </w:pPr>
      <w:r w:rsidRPr="00A70359">
        <w:rPr>
          <w:color w:val="333333"/>
        </w:rPr>
        <w:t>A </w:t>
      </w:r>
      <w:hyperlink r:id="rId9" w:history="1">
        <w:r w:rsidRPr="00C17B7A">
          <w:rPr>
            <w:rStyle w:val="Hiperhivatkozs"/>
            <w:color w:val="0000FF"/>
            <w:bdr w:val="none" w:sz="0" w:space="0" w:color="auto" w:frame="1"/>
          </w:rPr>
          <w:t>GVH Podcast csatornáján</w:t>
        </w:r>
      </w:hyperlink>
      <w:r w:rsidRPr="00A70359">
        <w:rPr>
          <w:color w:val="333333"/>
        </w:rPr>
        <w:t> elérhető </w:t>
      </w:r>
      <w:hyperlink r:id="rId10" w:history="1">
        <w:r w:rsidRPr="00C17B7A">
          <w:rPr>
            <w:rStyle w:val="Hiperhivatkozs"/>
            <w:color w:val="0000FF"/>
            <w:bdr w:val="none" w:sz="0" w:space="0" w:color="auto" w:frame="1"/>
          </w:rPr>
          <w:t>beszélgetésben</w:t>
        </w:r>
      </w:hyperlink>
      <w:r w:rsidRPr="00A70359">
        <w:rPr>
          <w:color w:val="333333"/>
        </w:rPr>
        <w:t> is hasznos tanácsokat kapnak a vállalkozások és véleményvezérek hogyan tudnak jogszerűen reklámozni a közösségi média felületeken. A </w:t>
      </w:r>
      <w:hyperlink r:id="rId11" w:history="1">
        <w:r w:rsidRPr="00C17B7A">
          <w:rPr>
            <w:rStyle w:val="Hiperhivatkozs"/>
            <w:color w:val="0000FF"/>
            <w:bdr w:val="none" w:sz="0" w:space="0" w:color="auto" w:frame="1"/>
          </w:rPr>
          <w:t>második részben</w:t>
        </w:r>
      </w:hyperlink>
      <w:r w:rsidRPr="00A70359">
        <w:rPr>
          <w:color w:val="333333"/>
        </w:rPr>
        <w:t xml:space="preserve"> szó esik az influenszerek reklámtevékenységével kapcsolatban lefolytatott versenyfelügyeleti eljárások tapasztalatairól és a felelősségi kérdésekről, valamint szóba kerülnek azok a speciális ágazatok is, ahol egyáltalán nem megengedett az </w:t>
      </w:r>
      <w:proofErr w:type="spellStart"/>
      <w:r w:rsidRPr="00A70359">
        <w:rPr>
          <w:color w:val="333333"/>
        </w:rPr>
        <w:t>influenszer</w:t>
      </w:r>
      <w:proofErr w:type="spellEnd"/>
      <w:r w:rsidRPr="00A70359">
        <w:rPr>
          <w:color w:val="333333"/>
        </w:rPr>
        <w:t xml:space="preserve"> reklámozás. A GVH 2024 elején </w:t>
      </w:r>
      <w:hyperlink r:id="rId12" w:history="1">
        <w:r w:rsidRPr="00C17B7A">
          <w:rPr>
            <w:rStyle w:val="Hiperhivatkozs"/>
            <w:color w:val="0000FF"/>
            <w:bdr w:val="none" w:sz="0" w:space="0" w:color="auto" w:frame="1"/>
          </w:rPr>
          <w:t>szakmai workshopot is szervezett</w:t>
        </w:r>
      </w:hyperlink>
      <w:r w:rsidRPr="00A70359">
        <w:rPr>
          <w:color w:val="333333"/>
        </w:rPr>
        <w:t> a fogyasztóvédelmi felelősség legaktuálisabb kérdéseinek megvitatására.</w:t>
      </w:r>
    </w:p>
    <w:p w14:paraId="5867C2A6" w14:textId="38A04755" w:rsidR="00D041EC" w:rsidRDefault="00D041EC" w:rsidP="00D041EC">
      <w:pPr>
        <w:spacing w:after="120" w:line="240" w:lineRule="auto"/>
      </w:pPr>
      <w:r w:rsidRPr="00865EC7">
        <w:t xml:space="preserve">A Gazdasági Versenyhivatal felhívja a fogyasztók figyelmét, hogy </w:t>
      </w:r>
      <w:r w:rsidR="008F47B5">
        <w:t xml:space="preserve">a </w:t>
      </w:r>
      <w:r w:rsidRPr="00865EC7">
        <w:t>pénzügyi kérdésekben mindig alaposan, körültekintően járjanak el, több forrásból tájékozódjanak</w:t>
      </w:r>
      <w:r w:rsidR="008F47B5">
        <w:t>. Szükség esetén k</w:t>
      </w:r>
      <w:r w:rsidRPr="00865EC7">
        <w:t xml:space="preserve">érjék ki pénzügyi szakember véleményét, </w:t>
      </w:r>
      <w:r>
        <w:t xml:space="preserve">legyenek </w:t>
      </w:r>
      <w:r w:rsidRPr="00865EC7">
        <w:t>figyelemmel a pénzügyi termékek komplex jellegére</w:t>
      </w:r>
      <w:r w:rsidR="00262EF5">
        <w:t>,</w:t>
      </w:r>
      <w:r w:rsidRPr="00865EC7">
        <w:t xml:space="preserve"> és csak </w:t>
      </w:r>
      <w:r>
        <w:t>megfontolt tájékozódást</w:t>
      </w:r>
      <w:r w:rsidRPr="00865EC7">
        <w:t xml:space="preserve"> követően döntsenek. </w:t>
      </w:r>
    </w:p>
    <w:p w14:paraId="1FA3465B" w14:textId="5A5BE080" w:rsidR="00D041EC" w:rsidRDefault="00D041EC" w:rsidP="00D041EC">
      <w:pPr>
        <w:spacing w:after="120" w:line="240" w:lineRule="auto"/>
      </w:pPr>
      <w:r>
        <w:lastRenderedPageBreak/>
        <w:t xml:space="preserve">A Gazdasági Versenyhivatal a fogyasztók figyelmébe ajánlja a Magyar Nemzeti Bank </w:t>
      </w:r>
      <w:hyperlink r:id="rId13" w:history="1">
        <w:r w:rsidRPr="008672BD">
          <w:rPr>
            <w:rStyle w:val="Hiperhivatkozs"/>
          </w:rPr>
          <w:t>„Pénzügyi navigátor” tájékoztató anyagait</w:t>
        </w:r>
      </w:hyperlink>
      <w:r>
        <w:t xml:space="preserve"> és további, a </w:t>
      </w:r>
      <w:hyperlink r:id="rId14" w:history="1">
        <w:r w:rsidRPr="008672BD">
          <w:rPr>
            <w:rStyle w:val="Hiperhivatkozs"/>
          </w:rPr>
          <w:t>Magyar Nemzeti Bank honlapján</w:t>
        </w:r>
      </w:hyperlink>
      <w:r>
        <w:t xml:space="preserve"> elérhető hasznos információkat a pénzügyi termékekkel kapcsolatban.</w:t>
      </w:r>
    </w:p>
    <w:p w14:paraId="59B82B5A" w14:textId="77777777" w:rsidR="004F34FA" w:rsidRPr="00A70359" w:rsidRDefault="004F34FA" w:rsidP="008F47B5">
      <w:pPr>
        <w:spacing w:before="120" w:after="120" w:line="240" w:lineRule="auto"/>
        <w:ind w:left="0"/>
      </w:pPr>
    </w:p>
    <w:p w14:paraId="46B5F357" w14:textId="59F89377" w:rsidR="00361831" w:rsidRPr="00A87089" w:rsidRDefault="00361831" w:rsidP="008672BD">
      <w:pPr>
        <w:spacing w:before="120" w:after="120" w:line="240" w:lineRule="auto"/>
        <w:ind w:left="199" w:firstLine="708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8672BD">
      <w:pPr>
        <w:spacing w:before="120" w:after="120" w:line="240" w:lineRule="auto"/>
        <w:ind w:left="199" w:firstLine="708"/>
      </w:pPr>
      <w:r>
        <w:t>További információ:</w:t>
      </w:r>
    </w:p>
    <w:p w14:paraId="707774B9" w14:textId="77777777" w:rsidR="00361831" w:rsidRDefault="00361831" w:rsidP="008672BD">
      <w:pPr>
        <w:spacing w:before="120" w:after="120" w:line="240" w:lineRule="auto"/>
        <w:ind w:left="199" w:firstLine="708"/>
      </w:pPr>
      <w:r>
        <w:t>Horváth Bálint, kommunikációs vezető +36 20 238 6939</w:t>
      </w:r>
    </w:p>
    <w:p w14:paraId="4198A9CE" w14:textId="76D261F2" w:rsidR="002A426E" w:rsidRDefault="00361831" w:rsidP="008672BD">
      <w:pPr>
        <w:spacing w:before="120" w:after="120" w:line="240" w:lineRule="auto"/>
        <w:ind w:left="199" w:firstLine="708"/>
      </w:pPr>
      <w:r>
        <w:t>Gondolovics Katalin, sajtószóvivő +36 30 603 1170</w:t>
      </w:r>
    </w:p>
    <w:sectPr w:rsidR="002A426E" w:rsidSect="00825424">
      <w:footerReference w:type="default" r:id="rId15"/>
      <w:headerReference w:type="first" r:id="rId16"/>
      <w:footerReference w:type="first" r:id="rId17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DA6D" w14:textId="77777777" w:rsidR="0044081C" w:rsidRDefault="0044081C">
      <w:pPr>
        <w:spacing w:after="0" w:line="240" w:lineRule="auto"/>
      </w:pPr>
      <w:r>
        <w:separator/>
      </w:r>
    </w:p>
  </w:endnote>
  <w:endnote w:type="continuationSeparator" w:id="0">
    <w:p w14:paraId="5D8DF894" w14:textId="77777777" w:rsidR="0044081C" w:rsidRDefault="0044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D62E" w14:textId="77777777" w:rsidR="0044081C" w:rsidRDefault="0044081C">
      <w:pPr>
        <w:spacing w:after="0" w:line="240" w:lineRule="auto"/>
      </w:pPr>
      <w:r>
        <w:separator/>
      </w:r>
    </w:p>
  </w:footnote>
  <w:footnote w:type="continuationSeparator" w:id="0">
    <w:p w14:paraId="4AB7CE28" w14:textId="77777777" w:rsidR="0044081C" w:rsidRDefault="0044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552C"/>
    <w:rsid w:val="000C16F7"/>
    <w:rsid w:val="000D02B9"/>
    <w:rsid w:val="000F67F0"/>
    <w:rsid w:val="001215EE"/>
    <w:rsid w:val="001407FC"/>
    <w:rsid w:val="001431B4"/>
    <w:rsid w:val="00167BF7"/>
    <w:rsid w:val="001A31BE"/>
    <w:rsid w:val="001A3A55"/>
    <w:rsid w:val="001B7AA9"/>
    <w:rsid w:val="001C488C"/>
    <w:rsid w:val="00202D48"/>
    <w:rsid w:val="00206DF4"/>
    <w:rsid w:val="002574F3"/>
    <w:rsid w:val="00262EF5"/>
    <w:rsid w:val="00274661"/>
    <w:rsid w:val="0027539F"/>
    <w:rsid w:val="00296DAA"/>
    <w:rsid w:val="002A0E05"/>
    <w:rsid w:val="002A426E"/>
    <w:rsid w:val="002A5C8B"/>
    <w:rsid w:val="002D7A9E"/>
    <w:rsid w:val="002E0749"/>
    <w:rsid w:val="00316580"/>
    <w:rsid w:val="00331DA9"/>
    <w:rsid w:val="00361831"/>
    <w:rsid w:val="003C51E4"/>
    <w:rsid w:val="003D38C6"/>
    <w:rsid w:val="003D7552"/>
    <w:rsid w:val="003E675C"/>
    <w:rsid w:val="003F10DE"/>
    <w:rsid w:val="003F4659"/>
    <w:rsid w:val="00424B8A"/>
    <w:rsid w:val="00430D05"/>
    <w:rsid w:val="0044081C"/>
    <w:rsid w:val="004413B5"/>
    <w:rsid w:val="00463C33"/>
    <w:rsid w:val="00491BFC"/>
    <w:rsid w:val="004B3DBB"/>
    <w:rsid w:val="004C64BF"/>
    <w:rsid w:val="004F34FA"/>
    <w:rsid w:val="00545903"/>
    <w:rsid w:val="005566B7"/>
    <w:rsid w:val="005A384B"/>
    <w:rsid w:val="005A4856"/>
    <w:rsid w:val="005B31C0"/>
    <w:rsid w:val="005E13E7"/>
    <w:rsid w:val="005E7373"/>
    <w:rsid w:val="00617061"/>
    <w:rsid w:val="00626E97"/>
    <w:rsid w:val="006368CF"/>
    <w:rsid w:val="00662D35"/>
    <w:rsid w:val="00674402"/>
    <w:rsid w:val="006B4B0A"/>
    <w:rsid w:val="006B5E56"/>
    <w:rsid w:val="006C3EEC"/>
    <w:rsid w:val="006F4B6A"/>
    <w:rsid w:val="006F5A28"/>
    <w:rsid w:val="0071620B"/>
    <w:rsid w:val="0072038E"/>
    <w:rsid w:val="00721117"/>
    <w:rsid w:val="00721F53"/>
    <w:rsid w:val="00736F52"/>
    <w:rsid w:val="0073744B"/>
    <w:rsid w:val="00781F02"/>
    <w:rsid w:val="007C02EC"/>
    <w:rsid w:val="007C6DFA"/>
    <w:rsid w:val="00811EE1"/>
    <w:rsid w:val="00825A2A"/>
    <w:rsid w:val="008302EE"/>
    <w:rsid w:val="00835934"/>
    <w:rsid w:val="008672BD"/>
    <w:rsid w:val="008872CD"/>
    <w:rsid w:val="008927DB"/>
    <w:rsid w:val="008C44CC"/>
    <w:rsid w:val="008F47B5"/>
    <w:rsid w:val="00904062"/>
    <w:rsid w:val="00905BBD"/>
    <w:rsid w:val="00933AD1"/>
    <w:rsid w:val="0094208B"/>
    <w:rsid w:val="00956CBA"/>
    <w:rsid w:val="009C2511"/>
    <w:rsid w:val="009F6C0F"/>
    <w:rsid w:val="00A431F4"/>
    <w:rsid w:val="00A444F7"/>
    <w:rsid w:val="00A5193E"/>
    <w:rsid w:val="00A577FC"/>
    <w:rsid w:val="00A715B2"/>
    <w:rsid w:val="00A87089"/>
    <w:rsid w:val="00A87DC9"/>
    <w:rsid w:val="00A96E66"/>
    <w:rsid w:val="00AB23A7"/>
    <w:rsid w:val="00AC4C7E"/>
    <w:rsid w:val="00B06BCC"/>
    <w:rsid w:val="00B44630"/>
    <w:rsid w:val="00B6413F"/>
    <w:rsid w:val="00B85494"/>
    <w:rsid w:val="00BC4099"/>
    <w:rsid w:val="00C17B7A"/>
    <w:rsid w:val="00C72051"/>
    <w:rsid w:val="00C87708"/>
    <w:rsid w:val="00CA2EBA"/>
    <w:rsid w:val="00CB0005"/>
    <w:rsid w:val="00CB142A"/>
    <w:rsid w:val="00CD4963"/>
    <w:rsid w:val="00CD63D8"/>
    <w:rsid w:val="00D00DA5"/>
    <w:rsid w:val="00D041EC"/>
    <w:rsid w:val="00D213C7"/>
    <w:rsid w:val="00D31443"/>
    <w:rsid w:val="00D70327"/>
    <w:rsid w:val="00D800AE"/>
    <w:rsid w:val="00DB780D"/>
    <w:rsid w:val="00DF35CB"/>
    <w:rsid w:val="00E33ACD"/>
    <w:rsid w:val="00E45607"/>
    <w:rsid w:val="00E45E74"/>
    <w:rsid w:val="00E665BD"/>
    <w:rsid w:val="00EC4637"/>
    <w:rsid w:val="00EE08F1"/>
    <w:rsid w:val="00EE0B58"/>
    <w:rsid w:val="00F13997"/>
    <w:rsid w:val="00F22CD6"/>
    <w:rsid w:val="00F261FE"/>
    <w:rsid w:val="00F46BEA"/>
    <w:rsid w:val="00F564DE"/>
    <w:rsid w:val="00F67C62"/>
    <w:rsid w:val="00F833A1"/>
    <w:rsid w:val="00F96ED4"/>
    <w:rsid w:val="00FA1F0A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F34FA"/>
    <w:pPr>
      <w:spacing w:before="100" w:beforeAutospacing="1" w:after="100" w:afterAutospacing="1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pfile/file?path=/szakmai_felhasznaloknak/tajekoztatok/Tajekoztato_az_influenszer_marketingrol.pdf1&amp;inline=true" TargetMode="External"/><Relationship Id="rId13" Type="http://schemas.openxmlformats.org/officeDocument/2006/relationships/hyperlink" Target="https://www.mnb.hu/fogyasztovedelem/penzugyi-navigato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h.hu/fogyasztoknak/gondolja_vegig_higgadtan/7433_hu_gondolja_vegig_higgadtan" TargetMode="External"/><Relationship Id="rId12" Type="http://schemas.openxmlformats.org/officeDocument/2006/relationships/hyperlink" Target="https://gvh.hu/sajtoszoba/sajtokozlemenyek/2024-es-sajtokozlemenyek/a-fogyasztovedelmi-felelossegrol-szervezett-online-workshopot-a-gvh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KZBL5YSNm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1aqqyRN7DQ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gvh-podcast" TargetMode="External"/><Relationship Id="rId14" Type="http://schemas.openxmlformats.org/officeDocument/2006/relationships/hyperlink" Target="https://www.mnb.hu/web/foold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4</cp:revision>
  <dcterms:created xsi:type="dcterms:W3CDTF">2024-09-12T12:59:00Z</dcterms:created>
  <dcterms:modified xsi:type="dcterms:W3CDTF">2024-09-13T06:21:00Z</dcterms:modified>
</cp:coreProperties>
</file>