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DCC5C" w14:textId="588137B2" w:rsidR="00AF57BF" w:rsidRPr="00AF57BF" w:rsidRDefault="0010343C" w:rsidP="00AF57BF">
      <w:pPr>
        <w:ind w:left="199" w:firstLine="708"/>
        <w:rPr>
          <w:b/>
          <w:bCs/>
          <w:sz w:val="28"/>
          <w:szCs w:val="28"/>
        </w:rPr>
      </w:pPr>
      <w:bookmarkStart w:id="0" w:name="_Hlk147755103"/>
      <w:bookmarkStart w:id="1" w:name="_Hlk150499558"/>
      <w:r>
        <w:rPr>
          <w:b/>
          <w:bCs/>
          <w:sz w:val="28"/>
          <w:szCs w:val="28"/>
        </w:rPr>
        <w:t>E</w:t>
      </w:r>
      <w:r w:rsidR="009D5FBA">
        <w:rPr>
          <w:b/>
          <w:bCs/>
          <w:sz w:val="28"/>
          <w:szCs w:val="28"/>
        </w:rPr>
        <w:t>melked</w:t>
      </w:r>
      <w:r>
        <w:rPr>
          <w:b/>
          <w:bCs/>
          <w:sz w:val="28"/>
          <w:szCs w:val="28"/>
        </w:rPr>
        <w:t>ett</w:t>
      </w:r>
      <w:r w:rsidR="009D5FBA">
        <w:rPr>
          <w:b/>
          <w:bCs/>
          <w:sz w:val="28"/>
          <w:szCs w:val="28"/>
        </w:rPr>
        <w:t xml:space="preserve"> a GVH által kiszabható bírságösszeg</w:t>
      </w:r>
    </w:p>
    <w:p w14:paraId="7725A902" w14:textId="0577331B" w:rsidR="009D5FBA" w:rsidRDefault="00EE2BC8" w:rsidP="00AF57BF">
      <w:pPr>
        <w:rPr>
          <w:b/>
          <w:bCs/>
          <w:i/>
          <w:iCs/>
        </w:rPr>
      </w:pPr>
      <w:r>
        <w:rPr>
          <w:b/>
          <w:bCs/>
          <w:i/>
          <w:iCs/>
        </w:rPr>
        <w:t>Már az előző évi nettó árbevétel 15%-a is lehet a maximális bírság</w:t>
      </w:r>
    </w:p>
    <w:p w14:paraId="621FEB8C" w14:textId="3E64F5CD" w:rsidR="00F833A1" w:rsidRPr="0040671E" w:rsidRDefault="00361831" w:rsidP="0040671E">
      <w:pPr>
        <w:tabs>
          <w:tab w:val="left" w:pos="567"/>
        </w:tabs>
        <w:spacing w:after="80"/>
        <w:rPr>
          <w:b/>
          <w:bCs/>
        </w:rPr>
      </w:pPr>
      <w:r w:rsidRPr="00257907">
        <w:rPr>
          <w:b/>
        </w:rPr>
        <w:t>Budapest, 202</w:t>
      </w:r>
      <w:r w:rsidR="00D213C7">
        <w:rPr>
          <w:b/>
        </w:rPr>
        <w:t>4</w:t>
      </w:r>
      <w:r w:rsidRPr="00257907">
        <w:rPr>
          <w:b/>
        </w:rPr>
        <w:t>.</w:t>
      </w:r>
      <w:r w:rsidR="00956CBA">
        <w:rPr>
          <w:b/>
        </w:rPr>
        <w:t xml:space="preserve"> </w:t>
      </w:r>
      <w:bookmarkEnd w:id="0"/>
      <w:bookmarkEnd w:id="1"/>
      <w:r w:rsidR="001A31BE">
        <w:rPr>
          <w:b/>
        </w:rPr>
        <w:t>szeptember</w:t>
      </w:r>
      <w:r w:rsidR="001E0718">
        <w:rPr>
          <w:b/>
        </w:rPr>
        <w:t xml:space="preserve"> </w:t>
      </w:r>
      <w:r w:rsidR="00834A7F">
        <w:rPr>
          <w:b/>
        </w:rPr>
        <w:t>12</w:t>
      </w:r>
      <w:r w:rsidR="001E0718">
        <w:rPr>
          <w:b/>
        </w:rPr>
        <w:t xml:space="preserve">. </w:t>
      </w:r>
      <w:r w:rsidR="006F5A28">
        <w:rPr>
          <w:b/>
        </w:rPr>
        <w:t xml:space="preserve">– </w:t>
      </w:r>
      <w:r w:rsidR="0040671E">
        <w:rPr>
          <w:b/>
        </w:rPr>
        <w:t>Még m</w:t>
      </w:r>
      <w:r w:rsidR="00AF57BF">
        <w:rPr>
          <w:b/>
        </w:rPr>
        <w:t>agasabb arányú bírságot szabhat ki a</w:t>
      </w:r>
      <w:r w:rsidR="006F5A28">
        <w:rPr>
          <w:b/>
        </w:rPr>
        <w:t xml:space="preserve"> Gazdasági Versenyhivatal </w:t>
      </w:r>
      <w:r w:rsidR="000F67F0">
        <w:rPr>
          <w:b/>
        </w:rPr>
        <w:t xml:space="preserve">(GVH) </w:t>
      </w:r>
      <w:r w:rsidR="006F5A28" w:rsidRPr="000F67F0">
        <w:rPr>
          <w:b/>
          <w:bCs/>
        </w:rPr>
        <w:t>2024. augusztus 1-jétől</w:t>
      </w:r>
      <w:r w:rsidR="000F67F0" w:rsidRPr="000F67F0">
        <w:rPr>
          <w:b/>
          <w:bCs/>
        </w:rPr>
        <w:t xml:space="preserve"> a jogsértő vállalkozásokra. </w:t>
      </w:r>
      <w:r w:rsidR="0040671E">
        <w:rPr>
          <w:b/>
          <w:bCs/>
        </w:rPr>
        <w:t>A kiszabható maximális bírságösszeg 2023.</w:t>
      </w:r>
      <w:r w:rsidR="00E04BCF">
        <w:rPr>
          <w:b/>
          <w:bCs/>
        </w:rPr>
        <w:t xml:space="preserve"> szeptember</w:t>
      </w:r>
      <w:r w:rsidR="0040671E">
        <w:rPr>
          <w:b/>
          <w:bCs/>
        </w:rPr>
        <w:t xml:space="preserve"> 1-jén emelkedett a</w:t>
      </w:r>
      <w:r w:rsidR="00053FAF">
        <w:rPr>
          <w:b/>
          <w:bCs/>
        </w:rPr>
        <w:t>z addig hatályos</w:t>
      </w:r>
      <w:r w:rsidR="0040671E">
        <w:rPr>
          <w:b/>
          <w:bCs/>
        </w:rPr>
        <w:t xml:space="preserve"> 10%-ról 13%-ra,</w:t>
      </w:r>
      <w:r w:rsidR="00756B86">
        <w:rPr>
          <w:b/>
          <w:bCs/>
        </w:rPr>
        <w:t xml:space="preserve"> kevesebb mint egy</w:t>
      </w:r>
      <w:r w:rsidR="0040671E">
        <w:rPr>
          <w:b/>
          <w:bCs/>
        </w:rPr>
        <w:t xml:space="preserve"> évvel később pedig már 15%-ra.</w:t>
      </w:r>
      <w:r w:rsidR="0002677C">
        <w:rPr>
          <w:b/>
          <w:bCs/>
        </w:rPr>
        <w:t xml:space="preserve"> </w:t>
      </w:r>
      <w:r w:rsidR="00AF57BF">
        <w:rPr>
          <w:b/>
          <w:bCs/>
        </w:rPr>
        <w:t>A GVH elsődleges célja nem a bírságolás, ugyanakkor a</w:t>
      </w:r>
      <w:r w:rsidR="00756B86">
        <w:rPr>
          <w:b/>
          <w:bCs/>
        </w:rPr>
        <w:t xml:space="preserve"> lehetséges</w:t>
      </w:r>
      <w:r w:rsidR="00053FAF">
        <w:rPr>
          <w:b/>
          <w:bCs/>
        </w:rPr>
        <w:t xml:space="preserve"> pénzbeli szankció</w:t>
      </w:r>
      <w:r w:rsidR="0040671E">
        <w:rPr>
          <w:b/>
          <w:bCs/>
        </w:rPr>
        <w:t xml:space="preserve"> emelked</w:t>
      </w:r>
      <w:r w:rsidR="00756B86">
        <w:rPr>
          <w:b/>
          <w:bCs/>
        </w:rPr>
        <w:t>és</w:t>
      </w:r>
      <w:r w:rsidR="00E04BCF">
        <w:rPr>
          <w:b/>
          <w:bCs/>
        </w:rPr>
        <w:t>e</w:t>
      </w:r>
      <w:r w:rsidR="00756B86">
        <w:rPr>
          <w:b/>
          <w:bCs/>
        </w:rPr>
        <w:t xml:space="preserve"> </w:t>
      </w:r>
      <w:r w:rsidR="00AF57BF">
        <w:rPr>
          <w:b/>
          <w:bCs/>
        </w:rPr>
        <w:t>komoly visszatartó er</w:t>
      </w:r>
      <w:r w:rsidR="00E04BCF">
        <w:rPr>
          <w:b/>
          <w:bCs/>
        </w:rPr>
        <w:t>ővel bír.</w:t>
      </w:r>
    </w:p>
    <w:p w14:paraId="46C39487" w14:textId="42369FFA" w:rsidR="00981556" w:rsidRDefault="00834A7F" w:rsidP="00981556">
      <w:pPr>
        <w:spacing w:before="120" w:after="120" w:line="240" w:lineRule="auto"/>
      </w:pPr>
      <w:hyperlink r:id="rId7" w:history="1">
        <w:r w:rsidR="00981556" w:rsidRPr="0002677C">
          <w:rPr>
            <w:rStyle w:val="Hiperhivatkozs"/>
          </w:rPr>
          <w:t>2</w:t>
        </w:r>
        <w:r w:rsidR="0002677C" w:rsidRPr="0002677C">
          <w:rPr>
            <w:rStyle w:val="Hiperhivatkozs"/>
          </w:rPr>
          <w:t xml:space="preserve">,2 milliárd forint </w:t>
        </w:r>
        <w:r w:rsidR="00981556" w:rsidRPr="0002677C">
          <w:rPr>
            <w:rStyle w:val="Hiperhivatkozs"/>
          </w:rPr>
          <w:t>bírságot szabott ki a GVH Verseny</w:t>
        </w:r>
        <w:r w:rsidR="00981556" w:rsidRPr="0002677C">
          <w:rPr>
            <w:rStyle w:val="Hiperhivatkozs"/>
          </w:rPr>
          <w:t>t</w:t>
        </w:r>
        <w:r w:rsidR="00981556" w:rsidRPr="0002677C">
          <w:rPr>
            <w:rStyle w:val="Hiperhivatkozs"/>
          </w:rPr>
          <w:t>anács</w:t>
        </w:r>
        <w:r w:rsidR="00756B86">
          <w:rPr>
            <w:rStyle w:val="Hiperhivatkozs"/>
          </w:rPr>
          <w:t>a</w:t>
        </w:r>
        <w:r w:rsidR="0002677C" w:rsidRPr="0002677C">
          <w:rPr>
            <w:rStyle w:val="Hiperhivatkozs"/>
          </w:rPr>
          <w:t xml:space="preserve"> 2023-ban</w:t>
        </w:r>
      </w:hyperlink>
      <w:r>
        <w:rPr>
          <w:rStyle w:val="Hiperhivatkozs"/>
        </w:rPr>
        <w:t>,</w:t>
      </w:r>
      <w:r w:rsidR="0002677C" w:rsidRPr="0002677C">
        <w:t xml:space="preserve"> </w:t>
      </w:r>
      <w:r w:rsidR="00981556">
        <w:t>összesen 97 vállalkozásra. A 2024-ben</w:t>
      </w:r>
      <w:r w:rsidR="0002677C">
        <w:t xml:space="preserve"> eddig</w:t>
      </w:r>
      <w:r w:rsidR="00981556">
        <w:t xml:space="preserve"> kiszabott versenyfelügyeleti bírságok összege pedig már</w:t>
      </w:r>
      <w:r w:rsidR="0002677C">
        <w:t xml:space="preserve"> ez év</w:t>
      </w:r>
      <w:r w:rsidR="00981556">
        <w:t xml:space="preserve"> augusztus</w:t>
      </w:r>
      <w:r w:rsidR="0002677C">
        <w:t>á</w:t>
      </w:r>
      <w:r w:rsidR="00981556">
        <w:t>ban meghaladta a 2 milliárd forintot.</w:t>
      </w:r>
    </w:p>
    <w:p w14:paraId="2FAE5B62" w14:textId="5B51EE1A" w:rsidR="00053FAF" w:rsidRDefault="00756B86" w:rsidP="00EE2BC8">
      <w:pPr>
        <w:spacing w:before="120" w:after="120" w:line="240" w:lineRule="auto"/>
      </w:pPr>
      <w:r>
        <w:t xml:space="preserve">A konkrét bírságösszeget a GVH Versenytanácsa a versenytörvény, illetve a hatóság által kiadott </w:t>
      </w:r>
      <w:hyperlink r:id="rId8" w:history="1">
        <w:r w:rsidRPr="00674402">
          <w:rPr>
            <w:rStyle w:val="Hiperhivatkozs"/>
          </w:rPr>
          <w:t>bírságközlem</w:t>
        </w:r>
        <w:r w:rsidRPr="00674402">
          <w:rPr>
            <w:rStyle w:val="Hiperhivatkozs"/>
          </w:rPr>
          <w:t>é</w:t>
        </w:r>
        <w:r w:rsidRPr="00674402">
          <w:rPr>
            <w:rStyle w:val="Hiperhivatkozs"/>
          </w:rPr>
          <w:t>nyek</w:t>
        </w:r>
      </w:hyperlink>
      <w:r>
        <w:t xml:space="preserve"> adta mérlegelési keretek között kalkulálja</w:t>
      </w:r>
      <w:r w:rsidR="00E04BCF">
        <w:t>,</w:t>
      </w:r>
      <w:r>
        <w:t xml:space="preserve"> az</w:t>
      </w:r>
      <w:r w:rsidR="00E04BCF">
        <w:t xml:space="preserve"> adott</w:t>
      </w:r>
      <w:r>
        <w:t xml:space="preserve"> ügy valamennyi körülményére figyelemmel. A</w:t>
      </w:r>
      <w:r w:rsidR="000C11C5">
        <w:t xml:space="preserve"> maximálisan kiszabható bírság</w:t>
      </w:r>
      <w:r>
        <w:t>ot</w:t>
      </w:r>
      <w:r w:rsidR="0002677C">
        <w:t xml:space="preserve"> </w:t>
      </w:r>
      <w:r w:rsidR="000C11C5">
        <w:t>az érintett</w:t>
      </w:r>
      <w:r>
        <w:t xml:space="preserve"> vállalkozás</w:t>
      </w:r>
      <w:r w:rsidR="00EE2BC8">
        <w:t xml:space="preserve"> – </w:t>
      </w:r>
      <w:r w:rsidR="0002677C">
        <w:t>akár cégcsoportszintű</w:t>
      </w:r>
      <w:r w:rsidR="00EE2BC8">
        <w:t xml:space="preserve"> – </w:t>
      </w:r>
      <w:r>
        <w:t>e</w:t>
      </w:r>
      <w:r w:rsidR="000C11C5">
        <w:t>lőző évi nettó árbevétele határozz</w:t>
      </w:r>
      <w:r>
        <w:t>a</w:t>
      </w:r>
      <w:r w:rsidR="00EE2BC8">
        <w:t xml:space="preserve"> meg.</w:t>
      </w:r>
    </w:p>
    <w:p w14:paraId="305CEE80" w14:textId="7B20FAA9" w:rsidR="00EE2BC8" w:rsidRDefault="00756B86" w:rsidP="00756B86">
      <w:pPr>
        <w:spacing w:before="120" w:after="120" w:line="240" w:lineRule="auto"/>
      </w:pPr>
      <w:r>
        <w:t xml:space="preserve">A jogsértésekkel kapcsolatos visszatartó erő </w:t>
      </w:r>
      <w:r w:rsidR="001C7C4E">
        <w:t xml:space="preserve">növelése </w:t>
      </w:r>
      <w:r>
        <w:t xml:space="preserve">érdekében legutóbb 2023. </w:t>
      </w:r>
      <w:r w:rsidR="001A31BE">
        <w:t>szeptember 1-</w:t>
      </w:r>
      <w:r>
        <w:t>j</w:t>
      </w:r>
      <w:r w:rsidR="001A31BE">
        <w:t xml:space="preserve">én </w:t>
      </w:r>
      <w:r w:rsidR="006B1F51">
        <w:t>emelkedett</w:t>
      </w:r>
      <w:r w:rsidR="001A31BE">
        <w:t xml:space="preserve"> </w:t>
      </w:r>
      <w:r w:rsidR="00F833A1">
        <w:t>a cégekkel szemben kiszabható maximális bírság</w:t>
      </w:r>
      <w:r w:rsidR="00053FAF">
        <w:t>összeg</w:t>
      </w:r>
      <w:r>
        <w:t xml:space="preserve"> az előző évi nettó árbevétel </w:t>
      </w:r>
      <w:r w:rsidR="00F833A1" w:rsidRPr="00D36281">
        <w:t>10</w:t>
      </w:r>
      <w:r w:rsidR="00F833A1">
        <w:t>%-</w:t>
      </w:r>
      <w:proofErr w:type="spellStart"/>
      <w:r w:rsidR="00AB23A7">
        <w:t>á</w:t>
      </w:r>
      <w:r w:rsidR="001A31BE">
        <w:t>ról</w:t>
      </w:r>
      <w:proofErr w:type="spellEnd"/>
      <w:r w:rsidR="00F833A1">
        <w:t xml:space="preserve"> </w:t>
      </w:r>
      <w:r w:rsidR="00F833A1" w:rsidRPr="00D36281">
        <w:t>13</w:t>
      </w:r>
      <w:r w:rsidR="00F833A1">
        <w:t>%-</w:t>
      </w:r>
      <w:r w:rsidR="00E04BCF">
        <w:t>á</w:t>
      </w:r>
      <w:r w:rsidR="001A31BE">
        <w:t>ra</w:t>
      </w:r>
      <w:r w:rsidR="003D7552">
        <w:t>.</w:t>
      </w:r>
    </w:p>
    <w:p w14:paraId="650B97E9" w14:textId="1A016517" w:rsidR="00F833A1" w:rsidRPr="00EE2BC8" w:rsidRDefault="00756B86" w:rsidP="00EE2BC8">
      <w:pPr>
        <w:spacing w:before="120" w:after="120" w:line="240" w:lineRule="auto"/>
        <w:rPr>
          <w:rFonts w:eastAsiaTheme="majorEastAsia"/>
          <w:color w:val="000000" w:themeColor="text1"/>
          <w:bdr w:val="none" w:sz="0" w:space="0" w:color="auto" w:frame="1"/>
          <w:shd w:val="clear" w:color="auto" w:fill="FFFFFF"/>
        </w:rPr>
      </w:pPr>
      <w:r>
        <w:t xml:space="preserve">A </w:t>
      </w:r>
      <w:r w:rsidR="001E0718">
        <w:t>GVH Versenytanácsa</w:t>
      </w:r>
      <w:r>
        <w:t xml:space="preserve"> </w:t>
      </w:r>
      <w:r w:rsidR="00C72C9D">
        <w:t>az</w:t>
      </w:r>
      <w:r w:rsidR="00F833A1">
        <w:t>óta több ügyben is kiszabott</w:t>
      </w:r>
      <w:r>
        <w:t xml:space="preserve"> </w:t>
      </w:r>
      <w:r w:rsidR="00F833A1">
        <w:t xml:space="preserve">bírságot, melyek </w:t>
      </w:r>
      <w:r>
        <w:t>közül</w:t>
      </w:r>
      <w:r w:rsidR="00F833A1">
        <w:t xml:space="preserve"> három ügyben</w:t>
      </w:r>
      <w:r w:rsidR="00C72C9D">
        <w:t xml:space="preserve"> </w:t>
      </w:r>
      <w:r w:rsidR="00F833A1">
        <w:t>már a magasabb, 13%-os</w:t>
      </w:r>
      <w:r w:rsidR="00E04BCF">
        <w:t xml:space="preserve"> maximális</w:t>
      </w:r>
      <w:r w:rsidR="00F833A1">
        <w:t xml:space="preserve"> bírságplafont alkalmazta. Az így kiszabott bírság</w:t>
      </w:r>
      <w:r w:rsidR="001A31BE">
        <w:t>ok</w:t>
      </w:r>
      <w:r w:rsidR="00F833A1">
        <w:t xml:space="preserve"> összege </w:t>
      </w:r>
      <w:r w:rsidR="00E04BCF">
        <w:t>megközelítette a</w:t>
      </w:r>
      <w:r w:rsidR="00F833A1" w:rsidRPr="00AF46FD">
        <w:t xml:space="preserve"> 700 millió</w:t>
      </w:r>
      <w:r w:rsidR="00E04BCF">
        <w:t xml:space="preserve"> forintot.</w:t>
      </w:r>
      <w:r w:rsidR="00EE2BC8">
        <w:t xml:space="preserve"> </w:t>
      </w:r>
      <w:r w:rsidR="001A31BE">
        <w:t xml:space="preserve">Egy </w:t>
      </w:r>
      <w:hyperlink r:id="rId9" w:history="1">
        <w:r w:rsidR="001A31BE" w:rsidRPr="001A31BE">
          <w:rPr>
            <w:rStyle w:val="Hiperhivatkozs"/>
          </w:rPr>
          <w:t>illegális e-ci</w:t>
        </w:r>
        <w:r w:rsidR="001A31BE" w:rsidRPr="001A31BE">
          <w:rPr>
            <w:rStyle w:val="Hiperhivatkozs"/>
          </w:rPr>
          <w:t>g</w:t>
        </w:r>
        <w:r w:rsidR="001A31BE" w:rsidRPr="001A31BE">
          <w:rPr>
            <w:rStyle w:val="Hiperhivatkozs"/>
          </w:rPr>
          <w:t>aretta forgalmazó cégre</w:t>
        </w:r>
      </w:hyperlink>
      <w:r w:rsidR="00F833A1">
        <w:t xml:space="preserve">, </w:t>
      </w:r>
      <w:r w:rsidR="001A31BE">
        <w:t>valamint</w:t>
      </w:r>
      <w:r w:rsidR="00F833A1">
        <w:t xml:space="preserve"> </w:t>
      </w:r>
      <w:r w:rsidR="00F833A1" w:rsidRPr="001A31BE">
        <w:t xml:space="preserve">egy </w:t>
      </w:r>
      <w:hyperlink r:id="rId10" w:history="1">
        <w:r w:rsidR="00F833A1" w:rsidRPr="001A31BE">
          <w:rPr>
            <w:rStyle w:val="Hiperhivatkozs"/>
          </w:rPr>
          <w:t>online lámpakereskedő</w:t>
        </w:r>
        <w:r w:rsidR="00F833A1" w:rsidRPr="001A31BE">
          <w:rPr>
            <w:rStyle w:val="Hiperhivatkozs"/>
          </w:rPr>
          <w:t>-</w:t>
        </w:r>
        <w:r w:rsidR="00F833A1" w:rsidRPr="001A31BE">
          <w:rPr>
            <w:rStyle w:val="Hiperhivatkozs"/>
          </w:rPr>
          <w:t>áruház</w:t>
        </w:r>
        <w:r w:rsidR="001A31BE" w:rsidRPr="001A31BE">
          <w:rPr>
            <w:rStyle w:val="Hiperhivatkozs"/>
          </w:rPr>
          <w:t>ra</w:t>
        </w:r>
      </w:hyperlink>
      <w:r w:rsidR="001A31BE">
        <w:t xml:space="preserve"> tisztességtelen kereskedelmi gyakorlat</w:t>
      </w:r>
      <w:r w:rsidR="00370F1F">
        <w:t>ok</w:t>
      </w:r>
      <w:r w:rsidR="001A31BE">
        <w:t xml:space="preserve"> miatt szabott ki a GVH maximális bírságot</w:t>
      </w:r>
      <w:r w:rsidR="001A31BE" w:rsidRPr="00674402">
        <w:rPr>
          <w:color w:val="000000" w:themeColor="text1"/>
        </w:rPr>
        <w:t>.</w:t>
      </w:r>
      <w:r w:rsidR="00F833A1" w:rsidRPr="00674402">
        <w:rPr>
          <w:color w:val="000000" w:themeColor="text1"/>
        </w:rPr>
        <w:t xml:space="preserve"> </w:t>
      </w:r>
      <w:r w:rsidR="00674402" w:rsidRPr="00674402">
        <w:rPr>
          <w:color w:val="000000" w:themeColor="text1"/>
        </w:rPr>
        <w:t>A harmadik ügyben</w:t>
      </w:r>
      <w:r w:rsidR="00674402">
        <w:rPr>
          <w:color w:val="000000" w:themeColor="text1"/>
        </w:rPr>
        <w:t>, egy utóvizsgálatban</w:t>
      </w:r>
      <w:r w:rsidR="00674402" w:rsidRPr="00674402">
        <w:rPr>
          <w:b/>
          <w:bCs/>
          <w:color w:val="000000" w:themeColor="text1"/>
        </w:rPr>
        <w:t xml:space="preserve"> </w:t>
      </w:r>
      <w:r w:rsidR="00981556">
        <w:rPr>
          <w:rStyle w:val="Kiemels2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a Booking.com</w:t>
      </w:r>
      <w:r w:rsidR="00674402" w:rsidRPr="00674402">
        <w:rPr>
          <w:rStyle w:val="Kiemels2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hyperlink r:id="rId11" w:history="1">
        <w:r w:rsidR="00674402" w:rsidRPr="00674402">
          <w:rPr>
            <w:rStyle w:val="Hiperhivatkozs"/>
            <w:rFonts w:eastAsiaTheme="majorEastAsia"/>
            <w:bdr w:val="none" w:sz="0" w:space="0" w:color="auto" w:frame="1"/>
            <w:shd w:val="clear" w:color="auto" w:fill="FFFFFF"/>
          </w:rPr>
          <w:t>globális o</w:t>
        </w:r>
        <w:r w:rsidR="00674402" w:rsidRPr="00674402">
          <w:rPr>
            <w:rStyle w:val="Hiperhivatkozs"/>
            <w:rFonts w:eastAsiaTheme="majorEastAsia"/>
            <w:bdr w:val="none" w:sz="0" w:space="0" w:color="auto" w:frame="1"/>
            <w:shd w:val="clear" w:color="auto" w:fill="FFFFFF"/>
          </w:rPr>
          <w:t>n</w:t>
        </w:r>
        <w:r w:rsidR="00674402" w:rsidRPr="00674402">
          <w:rPr>
            <w:rStyle w:val="Hiperhivatkozs"/>
            <w:rFonts w:eastAsiaTheme="majorEastAsia"/>
            <w:bdr w:val="none" w:sz="0" w:space="0" w:color="auto" w:frame="1"/>
            <w:shd w:val="clear" w:color="auto" w:fill="FFFFFF"/>
          </w:rPr>
          <w:t>line szálláshelyfoglalási platformot működtető vállalkozásra</w:t>
        </w:r>
      </w:hyperlink>
      <w:r w:rsidR="00674402" w:rsidRPr="00674402">
        <w:rPr>
          <w:rStyle w:val="Kiemels2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>
        <w:rPr>
          <w:rStyle w:val="Kiemels2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pedig</w:t>
      </w:r>
      <w:r w:rsidR="00EE2BC8">
        <w:rPr>
          <w:rStyle w:val="Kiemels2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 – az utóvizsgálatokat tekintve – </w:t>
      </w:r>
      <w:r w:rsidR="00674402" w:rsidRPr="00674402">
        <w:rPr>
          <w:rStyle w:val="Kiemels2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rekordösszegű bírságot </w:t>
      </w:r>
      <w:r w:rsidR="001E0718">
        <w:rPr>
          <w:rStyle w:val="Kiemels2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rótt</w:t>
      </w:r>
      <w:r w:rsidR="00674402" w:rsidRPr="00674402">
        <w:rPr>
          <w:rStyle w:val="Kiemels2"/>
          <w:rFonts w:eastAsiaTheme="majorEastAsia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 ki a GVH, </w:t>
      </w:r>
      <w:r w:rsidR="00F833A1" w:rsidRPr="00674402">
        <w:rPr>
          <w:color w:val="000000" w:themeColor="text1"/>
        </w:rPr>
        <w:t>mert a</w:t>
      </w:r>
      <w:r w:rsidR="00674402" w:rsidRPr="00674402">
        <w:rPr>
          <w:color w:val="000000" w:themeColor="text1"/>
        </w:rPr>
        <w:t xml:space="preserve"> cég</w:t>
      </w:r>
      <w:r w:rsidR="00F833A1" w:rsidRPr="00674402">
        <w:rPr>
          <w:color w:val="000000" w:themeColor="text1"/>
        </w:rPr>
        <w:t xml:space="preserve"> nem teljesítette maradéktalanul a hatóság által</w:t>
      </w:r>
      <w:r w:rsidR="00EE2BC8">
        <w:rPr>
          <w:color w:val="000000" w:themeColor="text1"/>
        </w:rPr>
        <w:t xml:space="preserve"> korábban</w:t>
      </w:r>
      <w:r w:rsidR="00F833A1" w:rsidRPr="00674402">
        <w:rPr>
          <w:color w:val="000000" w:themeColor="text1"/>
        </w:rPr>
        <w:t xml:space="preserve"> előírt kötelezettségeit. </w:t>
      </w:r>
    </w:p>
    <w:p w14:paraId="22650FDB" w14:textId="7C4547ED" w:rsidR="00F833A1" w:rsidRPr="001E0718" w:rsidRDefault="00E04BCF" w:rsidP="00E04BCF">
      <w:pPr>
        <w:spacing w:before="120" w:after="120" w:line="240" w:lineRule="auto"/>
        <w:rPr>
          <w:b/>
          <w:bCs/>
        </w:rPr>
      </w:pPr>
      <w:r w:rsidRPr="001E0718">
        <w:rPr>
          <w:b/>
          <w:bCs/>
        </w:rPr>
        <w:t xml:space="preserve">Az egyes ügyekben kiszabható maximális bírság 2024. augusztus 1-től ismét emelkedett, 13%-ról immár 15%-ra. Ez azt jelenti, hogy </w:t>
      </w:r>
      <w:r w:rsidR="00F833A1" w:rsidRPr="001E0718">
        <w:rPr>
          <w:b/>
          <w:bCs/>
        </w:rPr>
        <w:t>egy vállalkozás akár az előző évi nettó árbevétele 15%-</w:t>
      </w:r>
      <w:proofErr w:type="spellStart"/>
      <w:r w:rsidR="00EE2BC8" w:rsidRPr="001E0718">
        <w:rPr>
          <w:b/>
          <w:bCs/>
        </w:rPr>
        <w:t>á</w:t>
      </w:r>
      <w:r w:rsidR="00F833A1" w:rsidRPr="001E0718">
        <w:rPr>
          <w:b/>
          <w:bCs/>
        </w:rPr>
        <w:t>val</w:t>
      </w:r>
      <w:proofErr w:type="spellEnd"/>
      <w:r w:rsidR="00F833A1" w:rsidRPr="001E0718">
        <w:rPr>
          <w:b/>
          <w:bCs/>
        </w:rPr>
        <w:t xml:space="preserve"> </w:t>
      </w:r>
      <w:r w:rsidRPr="001E0718">
        <w:rPr>
          <w:b/>
          <w:bCs/>
        </w:rPr>
        <w:t>is felelhet egy súlyosabb jogsértés esetén.</w:t>
      </w:r>
    </w:p>
    <w:p w14:paraId="20A60BC9" w14:textId="1F7A6AC0" w:rsidR="000F67F0" w:rsidRPr="0010343C" w:rsidRDefault="000F67F0" w:rsidP="00674402">
      <w:pPr>
        <w:spacing w:before="120" w:after="120" w:line="240" w:lineRule="auto"/>
        <w:rPr>
          <w:b/>
          <w:bCs/>
        </w:rPr>
      </w:pPr>
      <w:r>
        <w:t xml:space="preserve">A Gazdasági Versenyhivatalnak nem elsődleges célja a </w:t>
      </w:r>
      <w:r w:rsidR="00832B9F">
        <w:t>bírságolás</w:t>
      </w:r>
      <w:r w:rsidR="00CB0005">
        <w:t xml:space="preserve">, </w:t>
      </w:r>
      <w:r w:rsidR="00E04BCF">
        <w:t xml:space="preserve">a nemzeti versenyhatóság ezért </w:t>
      </w:r>
      <w:hyperlink r:id="rId12" w:history="1">
        <w:r w:rsidR="00CB0005" w:rsidRPr="00DB3DAF">
          <w:rPr>
            <w:rStyle w:val="Hiperhivatkozs"/>
          </w:rPr>
          <w:t>számos együttműködési lehetősé</w:t>
        </w:r>
        <w:r w:rsidR="00DB3DAF" w:rsidRPr="00DB3DAF">
          <w:rPr>
            <w:rStyle w:val="Hiperhivatkozs"/>
          </w:rPr>
          <w:t>g</w:t>
        </w:r>
        <w:r w:rsidR="00DB3DAF" w:rsidRPr="00DB3DAF">
          <w:rPr>
            <w:rStyle w:val="Hiperhivatkozs"/>
          </w:rPr>
          <w:t>et kínál</w:t>
        </w:r>
      </w:hyperlink>
      <w:r w:rsidR="00CB0005">
        <w:t xml:space="preserve"> a vállalkozások számára</w:t>
      </w:r>
      <w:r w:rsidR="00832B9F">
        <w:t>, aktív együttműködéssel az eljárások során is mérsékelhető a bírságösszeg. Mindemellett</w:t>
      </w:r>
      <w:r w:rsidR="00CB0005">
        <w:t xml:space="preserve"> </w:t>
      </w:r>
      <w:r w:rsidR="00832B9F">
        <w:t>a</w:t>
      </w:r>
      <w:r w:rsidR="00CB0005">
        <w:t xml:space="preserve"> GVH tájékoztató anyagokkal </w:t>
      </w:r>
      <w:r w:rsidR="00FA1F0A">
        <w:t xml:space="preserve">(pl. </w:t>
      </w:r>
      <w:hyperlink r:id="rId13" w:history="1">
        <w:r w:rsidR="00FA1F0A" w:rsidRPr="002A5C8B">
          <w:rPr>
            <w:rStyle w:val="Hiperhivatkozs"/>
          </w:rPr>
          <w:t>fogyasztóvédelmi törvény változ</w:t>
        </w:r>
        <w:r w:rsidR="00FA1F0A" w:rsidRPr="002A5C8B">
          <w:rPr>
            <w:rStyle w:val="Hiperhivatkozs"/>
          </w:rPr>
          <w:t>á</w:t>
        </w:r>
        <w:r w:rsidR="00FA1F0A" w:rsidRPr="002A5C8B">
          <w:rPr>
            <w:rStyle w:val="Hiperhivatkozs"/>
          </w:rPr>
          <w:t>sai</w:t>
        </w:r>
        <w:r w:rsidR="00832B9F">
          <w:rPr>
            <w:rStyle w:val="Hiperhivatkozs"/>
          </w:rPr>
          <w:t>ró</w:t>
        </w:r>
        <w:r w:rsidR="00FA1F0A" w:rsidRPr="002A5C8B">
          <w:rPr>
            <w:rStyle w:val="Hiperhivatkozs"/>
          </w:rPr>
          <w:t>l</w:t>
        </w:r>
      </w:hyperlink>
      <w:r w:rsidR="002A5C8B">
        <w:t xml:space="preserve">, </w:t>
      </w:r>
      <w:hyperlink r:id="rId14" w:history="1">
        <w:r w:rsidR="002A5C8B" w:rsidRPr="002A5C8B">
          <w:rPr>
            <w:rStyle w:val="Hiperhivatkozs"/>
          </w:rPr>
          <w:t>fenntarthatósági állítá</w:t>
        </w:r>
        <w:r w:rsidR="002A5C8B" w:rsidRPr="002A5C8B">
          <w:rPr>
            <w:rStyle w:val="Hiperhivatkozs"/>
          </w:rPr>
          <w:t>s</w:t>
        </w:r>
        <w:r w:rsidR="002A5C8B" w:rsidRPr="002A5C8B">
          <w:rPr>
            <w:rStyle w:val="Hiperhivatkozs"/>
          </w:rPr>
          <w:t>okkal kapcsolatban</w:t>
        </w:r>
      </w:hyperlink>
      <w:r w:rsidR="002A5C8B">
        <w:t>)</w:t>
      </w:r>
      <w:r w:rsidR="00FA1F0A">
        <w:t xml:space="preserve"> </w:t>
      </w:r>
      <w:r w:rsidR="00CB0005">
        <w:t>is segíti</w:t>
      </w:r>
      <w:r w:rsidR="002A5C8B">
        <w:t xml:space="preserve"> a vállalkozásokat,</w:t>
      </w:r>
      <w:r w:rsidR="00CB0005">
        <w:t xml:space="preserve"> hogy megelőzhető legyen </w:t>
      </w:r>
      <w:r w:rsidR="00E04BCF">
        <w:t>egy</w:t>
      </w:r>
      <w:r w:rsidR="00DB3DAF">
        <w:t>-egy</w:t>
      </w:r>
      <w:r w:rsidR="00CB0005">
        <w:t xml:space="preserve"> jogsértő magatartás. </w:t>
      </w:r>
      <w:r w:rsidR="001E0718" w:rsidRPr="0010343C">
        <w:rPr>
          <w:b/>
          <w:bCs/>
        </w:rPr>
        <w:t>A GVH célja a fogyasztók hatékony védelme és a jogkövetésre törekvő vállalkozások aktív támogatása.</w:t>
      </w:r>
    </w:p>
    <w:p w14:paraId="303E14B9" w14:textId="77777777" w:rsidR="00F833A1" w:rsidRDefault="00F833A1" w:rsidP="00A87089">
      <w:pPr>
        <w:spacing w:after="0"/>
        <w:rPr>
          <w:b/>
          <w:bCs/>
        </w:rPr>
      </w:pPr>
    </w:p>
    <w:p w14:paraId="46B5F357" w14:textId="59F89377" w:rsidR="00361831" w:rsidRPr="00A87089" w:rsidRDefault="00361831" w:rsidP="00A87089">
      <w:pPr>
        <w:spacing w:after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4D4523B3" w14:textId="77777777" w:rsidR="00361831" w:rsidRDefault="00361831" w:rsidP="00361831">
      <w:pPr>
        <w:spacing w:after="0"/>
      </w:pPr>
      <w:r>
        <w:t>További információ:</w:t>
      </w:r>
    </w:p>
    <w:p w14:paraId="707774B9" w14:textId="77777777" w:rsidR="00361831" w:rsidRDefault="00361831" w:rsidP="00361831">
      <w:pPr>
        <w:spacing w:after="0"/>
      </w:pPr>
      <w:r>
        <w:t>Horváth Bálint, kommunikációs vezető +36 20 238 6939</w:t>
      </w:r>
    </w:p>
    <w:p w14:paraId="4198A9CE" w14:textId="76D261F2" w:rsidR="002A426E" w:rsidRDefault="00361831" w:rsidP="00781F02">
      <w:pPr>
        <w:spacing w:after="0"/>
      </w:pPr>
      <w:r>
        <w:t>Gondolovics Katalin, sajtószóvivő +36 30 603 1170</w:t>
      </w:r>
    </w:p>
    <w:sectPr w:rsidR="002A426E" w:rsidSect="00825424">
      <w:footerReference w:type="default" r:id="rId15"/>
      <w:headerReference w:type="first" r:id="rId16"/>
      <w:footerReference w:type="first" r:id="rId17"/>
      <w:pgSz w:w="11906" w:h="16838"/>
      <w:pgMar w:top="284" w:right="851" w:bottom="567" w:left="851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7966D" w14:textId="77777777" w:rsidR="001431B4" w:rsidRDefault="001431B4">
      <w:pPr>
        <w:spacing w:after="0" w:line="240" w:lineRule="auto"/>
      </w:pPr>
      <w:r>
        <w:separator/>
      </w:r>
    </w:p>
  </w:endnote>
  <w:endnote w:type="continuationSeparator" w:id="0">
    <w:p w14:paraId="71BB2CF4" w14:textId="77777777" w:rsidR="001431B4" w:rsidRDefault="00143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274661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274661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5644F" w14:textId="77777777" w:rsidR="001431B4" w:rsidRDefault="001431B4">
      <w:pPr>
        <w:spacing w:after="0" w:line="240" w:lineRule="auto"/>
      </w:pPr>
      <w:r>
        <w:separator/>
      </w:r>
    </w:p>
  </w:footnote>
  <w:footnote w:type="continuationSeparator" w:id="0">
    <w:p w14:paraId="6B88F9F4" w14:textId="77777777" w:rsidR="001431B4" w:rsidRDefault="00143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274661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AF6"/>
    <w:rsid w:val="0002677C"/>
    <w:rsid w:val="00053FAF"/>
    <w:rsid w:val="00055453"/>
    <w:rsid w:val="00057D8B"/>
    <w:rsid w:val="0009552C"/>
    <w:rsid w:val="000C11C5"/>
    <w:rsid w:val="000C16F7"/>
    <w:rsid w:val="000D02B9"/>
    <w:rsid w:val="000F67F0"/>
    <w:rsid w:val="0010343C"/>
    <w:rsid w:val="001215EE"/>
    <w:rsid w:val="001407FC"/>
    <w:rsid w:val="001431B4"/>
    <w:rsid w:val="00167BF7"/>
    <w:rsid w:val="001A31BE"/>
    <w:rsid w:val="001B7AA9"/>
    <w:rsid w:val="001C7C4E"/>
    <w:rsid w:val="001E0718"/>
    <w:rsid w:val="00202D48"/>
    <w:rsid w:val="00206DF4"/>
    <w:rsid w:val="002574F3"/>
    <w:rsid w:val="00274661"/>
    <w:rsid w:val="00296DAA"/>
    <w:rsid w:val="002A0E05"/>
    <w:rsid w:val="002A426E"/>
    <w:rsid w:val="002A5C8B"/>
    <w:rsid w:val="002D7A9E"/>
    <w:rsid w:val="002E0749"/>
    <w:rsid w:val="00331DA9"/>
    <w:rsid w:val="00361831"/>
    <w:rsid w:val="00370F1F"/>
    <w:rsid w:val="003C51E4"/>
    <w:rsid w:val="003D38C6"/>
    <w:rsid w:val="003D7552"/>
    <w:rsid w:val="003E675C"/>
    <w:rsid w:val="003F10DE"/>
    <w:rsid w:val="0040671E"/>
    <w:rsid w:val="00424B8A"/>
    <w:rsid w:val="00430D05"/>
    <w:rsid w:val="004413B5"/>
    <w:rsid w:val="00463C33"/>
    <w:rsid w:val="00491BFC"/>
    <w:rsid w:val="004B3DBB"/>
    <w:rsid w:val="004C64BF"/>
    <w:rsid w:val="00545903"/>
    <w:rsid w:val="005566B7"/>
    <w:rsid w:val="005A384B"/>
    <w:rsid w:val="005A4856"/>
    <w:rsid w:val="005B31C0"/>
    <w:rsid w:val="005E13E7"/>
    <w:rsid w:val="005E7373"/>
    <w:rsid w:val="00617061"/>
    <w:rsid w:val="00626E97"/>
    <w:rsid w:val="006368CF"/>
    <w:rsid w:val="00662D35"/>
    <w:rsid w:val="00674402"/>
    <w:rsid w:val="006B1F51"/>
    <w:rsid w:val="006B4B0A"/>
    <w:rsid w:val="006B5E56"/>
    <w:rsid w:val="006F4B6A"/>
    <w:rsid w:val="006F5A28"/>
    <w:rsid w:val="0071620B"/>
    <w:rsid w:val="0072038E"/>
    <w:rsid w:val="00721117"/>
    <w:rsid w:val="00721F53"/>
    <w:rsid w:val="00736F52"/>
    <w:rsid w:val="0073744B"/>
    <w:rsid w:val="00756B86"/>
    <w:rsid w:val="00781F02"/>
    <w:rsid w:val="007C02EC"/>
    <w:rsid w:val="007C6DFA"/>
    <w:rsid w:val="00811EE1"/>
    <w:rsid w:val="00825A2A"/>
    <w:rsid w:val="008302EE"/>
    <w:rsid w:val="00832B9F"/>
    <w:rsid w:val="00834A7F"/>
    <w:rsid w:val="00835934"/>
    <w:rsid w:val="008872CD"/>
    <w:rsid w:val="008927DB"/>
    <w:rsid w:val="008C44CC"/>
    <w:rsid w:val="00904062"/>
    <w:rsid w:val="00905BBD"/>
    <w:rsid w:val="00933AD1"/>
    <w:rsid w:val="0094208B"/>
    <w:rsid w:val="00956CBA"/>
    <w:rsid w:val="00981556"/>
    <w:rsid w:val="009C2511"/>
    <w:rsid w:val="009D5FBA"/>
    <w:rsid w:val="009F6C0F"/>
    <w:rsid w:val="00A431F4"/>
    <w:rsid w:val="00A444F7"/>
    <w:rsid w:val="00A5193E"/>
    <w:rsid w:val="00A577FC"/>
    <w:rsid w:val="00A715B2"/>
    <w:rsid w:val="00A87089"/>
    <w:rsid w:val="00A87DC9"/>
    <w:rsid w:val="00A96E66"/>
    <w:rsid w:val="00AB23A7"/>
    <w:rsid w:val="00AF57BF"/>
    <w:rsid w:val="00B44630"/>
    <w:rsid w:val="00B6413F"/>
    <w:rsid w:val="00B85494"/>
    <w:rsid w:val="00BC4099"/>
    <w:rsid w:val="00C72051"/>
    <w:rsid w:val="00C72C9D"/>
    <w:rsid w:val="00C87708"/>
    <w:rsid w:val="00CA2EBA"/>
    <w:rsid w:val="00CB0005"/>
    <w:rsid w:val="00CB142A"/>
    <w:rsid w:val="00CD63D8"/>
    <w:rsid w:val="00D00DA5"/>
    <w:rsid w:val="00D213C7"/>
    <w:rsid w:val="00D31443"/>
    <w:rsid w:val="00D800AE"/>
    <w:rsid w:val="00DB3DAF"/>
    <w:rsid w:val="00DB780D"/>
    <w:rsid w:val="00DF35CB"/>
    <w:rsid w:val="00E04BCF"/>
    <w:rsid w:val="00E33ACD"/>
    <w:rsid w:val="00E45607"/>
    <w:rsid w:val="00E45E74"/>
    <w:rsid w:val="00E665BD"/>
    <w:rsid w:val="00EC4637"/>
    <w:rsid w:val="00EE08F1"/>
    <w:rsid w:val="00EE0B58"/>
    <w:rsid w:val="00EE2BC8"/>
    <w:rsid w:val="00F13997"/>
    <w:rsid w:val="00F22CD6"/>
    <w:rsid w:val="00F261FE"/>
    <w:rsid w:val="00F46BEA"/>
    <w:rsid w:val="00F67C62"/>
    <w:rsid w:val="00F833A1"/>
    <w:rsid w:val="00F96ED4"/>
    <w:rsid w:val="00FA1F0A"/>
    <w:rsid w:val="00FD56E1"/>
    <w:rsid w:val="00FE2939"/>
    <w:rsid w:val="00FE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96ED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96ED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96E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zakmai_felhasznaloknak/kozlemenyek/kozlemenyek" TargetMode="External"/><Relationship Id="rId13" Type="http://schemas.openxmlformats.org/officeDocument/2006/relationships/hyperlink" Target="https://www.gvh.hu/sajtoszoba/sajtokozlemenyek/2022-es-sajtokozlemenyek/elesednek-a-fogyasztokat-vedo-uj-szabalyo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vh.hu/sajtoszoba/sajtokozlemenyek/2024-es-sajtokozlemenyek/az-orszaggyules-elfogadta-a-gazdasagi-versenyhivatal-2023-as-beszamolojat" TargetMode="External"/><Relationship Id="rId12" Type="http://schemas.openxmlformats.org/officeDocument/2006/relationships/hyperlink" Target="https://www.gvh.hu/pfile/file?path=/szakmai_felhasznaloknak/tajekoztatok/Tajekoztato_a_Gazdasagi_Versenyhivatallal_valo_egyuttmukodesi_lehetosegekrol_es_azok_elonyeirol_230328.pdf1&amp;inline=true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vh.hu/sajtoszoba/sajtokozlemenyek/2024-es-sajtokozlemenyek/rekordbirsag-kozel-400-millio-forintra-buntette-a-gvh-a-booking-o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gvh.hu/sajtoszoba/sajtokozlemenyek/2024-es-sajtokozlemenyek/feny-derult-az-online-lampakereskedo-jogserteser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vh.hu/sajtoszoba/sajtokozlemenyek/2024-es-sajtokozlemenyek/illegalis-e-cigaretta-forgalmazora-csapott-le-a-gvh-kozel-190-millios-birsag-lett-a-vege" TargetMode="External"/><Relationship Id="rId14" Type="http://schemas.openxmlformats.org/officeDocument/2006/relationships/hyperlink" Target="https://www.gvh.hu/sajtoszoba/sajtokozlemenyek/2020-as-sajtokozlemenyek/nem-minden-zold-ami-annak-latszik-a-gvh-segit-a-jogszeru-reklamozasb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B9738-4149-4DB0-B354-C353FE1D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525</Words>
  <Characters>3627</Characters>
  <Application>Microsoft Office Word</Application>
  <DocSecurity>4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 dr.</cp:lastModifiedBy>
  <cp:revision>2</cp:revision>
  <dcterms:created xsi:type="dcterms:W3CDTF">2024-09-12T07:41:00Z</dcterms:created>
  <dcterms:modified xsi:type="dcterms:W3CDTF">2024-09-12T07:41:00Z</dcterms:modified>
</cp:coreProperties>
</file>