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CC5C" w14:textId="5D8EE68A" w:rsidR="00AF57BF" w:rsidRPr="00AF57BF" w:rsidRDefault="0056166D" w:rsidP="00AF57BF">
      <w:pPr>
        <w:ind w:left="199" w:firstLine="708"/>
        <w:rPr>
          <w:b/>
          <w:bCs/>
          <w:sz w:val="28"/>
          <w:szCs w:val="28"/>
        </w:rPr>
      </w:pPr>
      <w:bookmarkStart w:id="0" w:name="_Hlk147755103"/>
      <w:bookmarkStart w:id="1" w:name="_Hlk150499558"/>
      <w:r>
        <w:rPr>
          <w:b/>
          <w:bCs/>
          <w:sz w:val="28"/>
          <w:szCs w:val="28"/>
        </w:rPr>
        <w:t>Együttműködött</w:t>
      </w:r>
      <w:r w:rsidR="00901C1D">
        <w:rPr>
          <w:b/>
          <w:bCs/>
          <w:sz w:val="28"/>
          <w:szCs w:val="28"/>
        </w:rPr>
        <w:t xml:space="preserve"> a Innovelle Pharma, kevesebb bírs</w:t>
      </w:r>
      <w:r>
        <w:rPr>
          <w:b/>
          <w:bCs/>
          <w:sz w:val="28"/>
          <w:szCs w:val="28"/>
        </w:rPr>
        <w:t>á</w:t>
      </w:r>
      <w:r w:rsidR="00901C1D">
        <w:rPr>
          <w:b/>
          <w:bCs/>
          <w:sz w:val="28"/>
          <w:szCs w:val="28"/>
        </w:rPr>
        <w:t>got kell fizetnie</w:t>
      </w:r>
    </w:p>
    <w:p w14:paraId="7DF545E4" w14:textId="1E772E89" w:rsidR="005C4D03" w:rsidRDefault="00901C1D" w:rsidP="00372DAB">
      <w:pPr>
        <w:tabs>
          <w:tab w:val="left" w:pos="567"/>
        </w:tabs>
        <w:spacing w:after="80"/>
        <w:rPr>
          <w:b/>
          <w:bCs/>
          <w:i/>
          <w:iCs/>
        </w:rPr>
      </w:pPr>
      <w:r>
        <w:rPr>
          <w:b/>
          <w:bCs/>
          <w:i/>
          <w:iCs/>
        </w:rPr>
        <w:t>A jogsértést elismerő, együttműködő vállalkozások jelentős bírságcsökkentést kaphatnak</w:t>
      </w:r>
    </w:p>
    <w:p w14:paraId="67028566" w14:textId="6FFA8390" w:rsidR="003415CE" w:rsidRPr="0056166D" w:rsidRDefault="00361831" w:rsidP="0056166D">
      <w:pPr>
        <w:tabs>
          <w:tab w:val="left" w:pos="567"/>
        </w:tabs>
        <w:spacing w:after="80"/>
        <w:rPr>
          <w:b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 w:rsidR="00956CBA">
        <w:rPr>
          <w:b/>
        </w:rPr>
        <w:t xml:space="preserve"> </w:t>
      </w:r>
      <w:bookmarkEnd w:id="0"/>
      <w:bookmarkEnd w:id="1"/>
      <w:r w:rsidR="001A31BE">
        <w:rPr>
          <w:b/>
        </w:rPr>
        <w:t>szeptember</w:t>
      </w:r>
      <w:r w:rsidR="000154C1">
        <w:rPr>
          <w:b/>
        </w:rPr>
        <w:t xml:space="preserve"> 10.</w:t>
      </w:r>
      <w:r w:rsidR="001E0718">
        <w:rPr>
          <w:b/>
        </w:rPr>
        <w:t xml:space="preserve"> </w:t>
      </w:r>
      <w:r w:rsidR="006F5A28">
        <w:rPr>
          <w:b/>
        </w:rPr>
        <w:t xml:space="preserve">– </w:t>
      </w:r>
      <w:r w:rsidR="00901C1D">
        <w:rPr>
          <w:b/>
        </w:rPr>
        <w:t>Több mint 10 millió forinttal kevesebb</w:t>
      </w:r>
      <w:r w:rsidR="00304F9C">
        <w:rPr>
          <w:b/>
        </w:rPr>
        <w:t>,</w:t>
      </w:r>
      <w:r w:rsidR="00901C1D">
        <w:rPr>
          <w:b/>
        </w:rPr>
        <w:t xml:space="preserve"> 36 millió 450 ezer forintos bírságot kell fizetnie az Innovelle Pharma Kft.-nek – </w:t>
      </w:r>
      <w:r w:rsidR="00D35E51">
        <w:rPr>
          <w:b/>
        </w:rPr>
        <w:t xml:space="preserve">így </w:t>
      </w:r>
      <w:r w:rsidR="00901C1D">
        <w:rPr>
          <w:b/>
        </w:rPr>
        <w:t>döntött a GVH Versenytanácsa. A vállalkozást még 2020 októberében a megtévesztő hirdetései miatt marasztalta el a Gazdasági Versenyhivatal (GVH)</w:t>
      </w:r>
      <w:r w:rsidR="00D35E51">
        <w:rPr>
          <w:b/>
        </w:rPr>
        <w:t>,</w:t>
      </w:r>
      <w:r w:rsidR="00901C1D">
        <w:rPr>
          <w:b/>
        </w:rPr>
        <w:t xml:space="preserve"> közel 47 millió forintos bírságot kiszabva a cégre. </w:t>
      </w:r>
      <w:r w:rsidR="0056166D" w:rsidRPr="0056166D">
        <w:rPr>
          <w:b/>
        </w:rPr>
        <w:t xml:space="preserve">A </w:t>
      </w:r>
      <w:r w:rsidR="00D35E51">
        <w:rPr>
          <w:b/>
        </w:rPr>
        <w:t>vállalkozás</w:t>
      </w:r>
      <w:r w:rsidR="0056166D">
        <w:rPr>
          <w:b/>
        </w:rPr>
        <w:t xml:space="preserve"> élt a jogorvoslati jogával, a Kúria pedig a jogsértés megállapítását megerősít</w:t>
      </w:r>
      <w:r w:rsidR="00304F9C">
        <w:rPr>
          <w:b/>
        </w:rPr>
        <w:t>ve</w:t>
      </w:r>
      <w:r w:rsidR="0056166D">
        <w:rPr>
          <w:b/>
        </w:rPr>
        <w:t xml:space="preserve">, </w:t>
      </w:r>
      <w:r w:rsidR="00304F9C">
        <w:rPr>
          <w:b/>
        </w:rPr>
        <w:t>a</w:t>
      </w:r>
      <w:r w:rsidR="0056166D">
        <w:rPr>
          <w:b/>
        </w:rPr>
        <w:t xml:space="preserve"> bírság</w:t>
      </w:r>
      <w:r w:rsidR="00304F9C">
        <w:rPr>
          <w:b/>
        </w:rPr>
        <w:t>összeg újraszámolását rendelte el egy megismételt eljárásban. Ennek</w:t>
      </w:r>
      <w:r w:rsidR="00FD16C5">
        <w:rPr>
          <w:b/>
        </w:rPr>
        <w:t xml:space="preserve"> </w:t>
      </w:r>
      <w:r w:rsidR="00304F9C">
        <w:rPr>
          <w:b/>
        </w:rPr>
        <w:t>során az Innovelle Pharma Kft. együttműködő volt és megfelelési program</w:t>
      </w:r>
      <w:r w:rsidR="00FF4B16">
        <w:rPr>
          <w:b/>
        </w:rPr>
        <w:t>jának fejlesztését</w:t>
      </w:r>
      <w:r w:rsidR="00304F9C">
        <w:rPr>
          <w:b/>
        </w:rPr>
        <w:t xml:space="preserve"> is vállalta. </w:t>
      </w:r>
    </w:p>
    <w:p w14:paraId="3A19CD57" w14:textId="74A74CA3" w:rsidR="002C679E" w:rsidRPr="003415CE" w:rsidRDefault="00BD7B13" w:rsidP="003415CE">
      <w:pPr>
        <w:tabs>
          <w:tab w:val="left" w:pos="567"/>
        </w:tabs>
        <w:spacing w:before="120" w:after="120" w:line="240" w:lineRule="auto"/>
        <w:rPr>
          <w:color w:val="000000" w:themeColor="text1"/>
        </w:rPr>
      </w:pPr>
      <w:r w:rsidRPr="003415CE">
        <w:rPr>
          <w:color w:val="000000" w:themeColor="text1"/>
        </w:rPr>
        <w:t>A</w:t>
      </w:r>
      <w:r w:rsidR="00C42313" w:rsidRPr="003415CE">
        <w:rPr>
          <w:color w:val="000000" w:themeColor="text1"/>
        </w:rPr>
        <w:t xml:space="preserve"> G</w:t>
      </w:r>
      <w:r w:rsidR="0056166D">
        <w:rPr>
          <w:color w:val="000000" w:themeColor="text1"/>
        </w:rPr>
        <w:t xml:space="preserve">azdasági Versenyhivatal (GVH) a </w:t>
      </w:r>
      <w:hyperlink r:id="rId8" w:history="1">
        <w:r w:rsidR="000154C1" w:rsidRPr="0056166D">
          <w:rPr>
            <w:rStyle w:val="Hiperhivatkozs"/>
            <w:bCs/>
          </w:rPr>
          <w:t>2020. október 21-én lezárt</w:t>
        </w:r>
        <w:r w:rsidR="000154C1" w:rsidRPr="0056166D">
          <w:rPr>
            <w:rStyle w:val="Hiperhivatkozs"/>
            <w:b/>
          </w:rPr>
          <w:t xml:space="preserve"> </w:t>
        </w:r>
        <w:r w:rsidR="00EF4B34" w:rsidRPr="0056166D">
          <w:rPr>
            <w:rStyle w:val="Hiperhivatkozs"/>
          </w:rPr>
          <w:t xml:space="preserve">korábbi eljárásában </w:t>
        </w:r>
        <w:r w:rsidRPr="0056166D">
          <w:rPr>
            <w:rStyle w:val="Hiperhivatkozs"/>
          </w:rPr>
          <w:t>megállapította</w:t>
        </w:r>
      </w:hyperlink>
      <w:r w:rsidRPr="003415CE">
        <w:rPr>
          <w:color w:val="000000" w:themeColor="text1"/>
        </w:rPr>
        <w:t>, hogy</w:t>
      </w:r>
      <w:r w:rsidR="00EF4B34" w:rsidRPr="003415CE">
        <w:rPr>
          <w:color w:val="000000" w:themeColor="text1"/>
        </w:rPr>
        <w:t xml:space="preserve"> </w:t>
      </w:r>
      <w:r w:rsidR="00EF4B34" w:rsidRPr="003415CE">
        <w:rPr>
          <w:bCs/>
          <w:color w:val="000000" w:themeColor="text1"/>
        </w:rPr>
        <w:t>az Innovelle Pharma Kft.</w:t>
      </w:r>
      <w:r w:rsidR="00EF4B34" w:rsidRPr="003415CE">
        <w:rPr>
          <w:b/>
          <w:bCs/>
          <w:color w:val="000000" w:themeColor="text1"/>
        </w:rPr>
        <w:t xml:space="preserve"> </w:t>
      </w:r>
      <w:r w:rsidRPr="003415CE">
        <w:rPr>
          <w:color w:val="000000" w:themeColor="text1"/>
        </w:rPr>
        <w:t xml:space="preserve">2016. október 1-jétől 2020 áprilisáig a </w:t>
      </w:r>
      <w:r w:rsidR="00901C1D" w:rsidRPr="00901C1D">
        <w:rPr>
          <w:i/>
          <w:iCs/>
          <w:color w:val="000000" w:themeColor="text1"/>
        </w:rPr>
        <w:t>„</w:t>
      </w:r>
      <w:r w:rsidRPr="00901C1D">
        <w:rPr>
          <w:i/>
          <w:iCs/>
          <w:color w:val="000000" w:themeColor="text1"/>
        </w:rPr>
        <w:t>CalciTrio® kalciumot, K2 vitamint és D3 vitamint tartalmazó étrendkiegészítő filmtabletta és pezsgőtabletta</w:t>
      </w:r>
      <w:r w:rsidR="00901C1D" w:rsidRPr="00901C1D">
        <w:rPr>
          <w:i/>
          <w:iCs/>
          <w:color w:val="000000" w:themeColor="text1"/>
        </w:rPr>
        <w:t>”</w:t>
      </w:r>
      <w:r w:rsidRPr="003415CE">
        <w:rPr>
          <w:color w:val="000000" w:themeColor="text1"/>
        </w:rPr>
        <w:t xml:space="preserve"> készítmény népszerűsítése során alkalmazot</w:t>
      </w:r>
      <w:r w:rsidR="00EF4B34" w:rsidRPr="003415CE">
        <w:rPr>
          <w:color w:val="000000" w:themeColor="text1"/>
        </w:rPr>
        <w:t>t</w:t>
      </w:r>
      <w:r w:rsidR="0056166D">
        <w:rPr>
          <w:color w:val="000000" w:themeColor="text1"/>
        </w:rPr>
        <w:t>,</w:t>
      </w:r>
      <w:r w:rsidRPr="003415CE">
        <w:rPr>
          <w:color w:val="000000" w:themeColor="text1"/>
        </w:rPr>
        <w:t xml:space="preserve"> </w:t>
      </w:r>
      <w:r w:rsidR="00EF4B34" w:rsidRPr="003415CE">
        <w:rPr>
          <w:color w:val="000000" w:themeColor="text1"/>
        </w:rPr>
        <w:t xml:space="preserve">egészségre vonatkozó állításokkal tisztességtelen kereskedelmi gyakorlatot és ezáltal jogsértést </w:t>
      </w:r>
      <w:r w:rsidR="00446040" w:rsidRPr="003415CE">
        <w:rPr>
          <w:color w:val="000000" w:themeColor="text1"/>
        </w:rPr>
        <w:t>követett el.</w:t>
      </w:r>
    </w:p>
    <w:p w14:paraId="2FA31092" w14:textId="25822C9F" w:rsidR="002C679E" w:rsidRPr="003415CE" w:rsidRDefault="002C679E" w:rsidP="003415CE">
      <w:pPr>
        <w:tabs>
          <w:tab w:val="left" w:pos="567"/>
        </w:tabs>
        <w:spacing w:before="120" w:after="120" w:line="240" w:lineRule="auto"/>
        <w:rPr>
          <w:b/>
          <w:color w:val="000000" w:themeColor="text1"/>
        </w:rPr>
      </w:pPr>
      <w:r w:rsidRPr="003415CE">
        <w:rPr>
          <w:color w:val="000000" w:themeColor="text1"/>
        </w:rPr>
        <w:t>A</w:t>
      </w:r>
      <w:r w:rsidR="00C42313" w:rsidRPr="003415CE">
        <w:rPr>
          <w:color w:val="000000" w:themeColor="text1"/>
        </w:rPr>
        <w:t xml:space="preserve"> nemzeti versenyhatóság</w:t>
      </w:r>
      <w:r w:rsidRPr="003415CE">
        <w:rPr>
          <w:color w:val="000000" w:themeColor="text1"/>
        </w:rPr>
        <w:t xml:space="preserve"> ezúton is felhívja a vállalkozások figyelmét arra, hogy az</w:t>
      </w:r>
      <w:r w:rsidRPr="003415CE">
        <w:rPr>
          <w:color w:val="000000" w:themeColor="text1"/>
          <w:shd w:val="clear" w:color="auto" w:fill="FFFFFF"/>
        </w:rPr>
        <w:t xml:space="preserve"> élelmiszerekkel kapcsolatos, tápanyag-összetételre és egészségre vonatkozó reklámállításokat az európai közösségi jog közvetlenül szabályozza. A szabályozás szerint az élelmiszerekkel kapcsolatban alapvetően tilos egészségre vonatkozó állítást tenni, kivéve, ha az megfelel a rendeletben meghatározott feltételeknek és szerepel a tudományos ismereteken alapuló, </w:t>
      </w:r>
      <w:hyperlink r:id="rId9" w:history="1">
        <w:r w:rsidRPr="002C4AB9">
          <w:rPr>
            <w:rStyle w:val="Hiperhivatkozs"/>
            <w:rFonts w:eastAsiaTheme="majorEastAsia"/>
            <w:color w:val="0000FF"/>
          </w:rPr>
          <w:t>engedélyezett</w:t>
        </w:r>
        <w:r w:rsidRPr="002C4AB9">
          <w:rPr>
            <w:rStyle w:val="Hiperhivatkozs"/>
            <w:rFonts w:eastAsiaTheme="majorEastAsia"/>
            <w:color w:val="0000FF"/>
            <w:bdr w:val="none" w:sz="0" w:space="0" w:color="auto" w:frame="1"/>
            <w:shd w:val="clear" w:color="auto" w:fill="FFFFFF"/>
          </w:rPr>
          <w:t xml:space="preserve"> állítások tételes EU-s listáján</w:t>
        </w:r>
      </w:hyperlink>
      <w:r w:rsidRPr="003415CE">
        <w:rPr>
          <w:color w:val="000000" w:themeColor="text1"/>
          <w:shd w:val="clear" w:color="auto" w:fill="FFFFFF"/>
        </w:rPr>
        <w:t>. A cég ezen engedélyezett feltételeken túlterjeszkedően, megtévesztően állította reklámjaiban, hogy terméke segíti a kalciumot a csontokhoz való eljutásban és beépülésben. A lista alapján ugyanis kizárólag azt állíthatta volna, hogy termékének összetevője részt vesz a normál csontozat fenntartásában. A vállalkozás kereskedelmi gyakorlata ezért tisztességtelennek minősült.</w:t>
      </w:r>
    </w:p>
    <w:p w14:paraId="48F3E74E" w14:textId="40A39848" w:rsidR="003415CE" w:rsidRDefault="00446040" w:rsidP="003415CE">
      <w:pPr>
        <w:pStyle w:val="Listaszerbekezds"/>
        <w:spacing w:before="120" w:after="120" w:line="240" w:lineRule="auto"/>
        <w:ind w:left="90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15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vállalkozás </w:t>
      </w:r>
      <w:r w:rsidR="002C679E" w:rsidRPr="003415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GVH döntését követően </w:t>
      </w:r>
      <w:r w:rsidRPr="003415CE">
        <w:rPr>
          <w:rFonts w:ascii="Times New Roman" w:hAnsi="Times New Roman" w:cs="Times New Roman"/>
          <w:color w:val="000000" w:themeColor="text1"/>
          <w:sz w:val="24"/>
          <w:szCs w:val="24"/>
        </w:rPr>
        <w:t>élt a jogorvoslati lehetőségével</w:t>
      </w:r>
      <w:r w:rsidR="002C679E" w:rsidRPr="003415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bírósági felülvizsgálatok eredményeképpen a Kúria </w:t>
      </w:r>
      <w:r w:rsidR="002C679E" w:rsidRPr="003415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jogsértés</w:t>
      </w:r>
      <w:r w:rsidR="00901C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 vonatkozó megállapítást</w:t>
      </w:r>
      <w:r w:rsidR="002C679E" w:rsidRPr="003415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helyben hagyta, azonban a bírság vonatkozásában új eljárásra kötelezte a GVH-t.</w:t>
      </w:r>
    </w:p>
    <w:p w14:paraId="527283D2" w14:textId="0DFE4DC7" w:rsidR="00D75E33" w:rsidRPr="002C4AB9" w:rsidRDefault="003415CE" w:rsidP="002C4AB9">
      <w:pPr>
        <w:spacing w:before="120" w:after="120" w:line="240" w:lineRule="auto"/>
        <w:rPr>
          <w:color w:val="000000" w:themeColor="text1"/>
        </w:rPr>
      </w:pPr>
      <w:r w:rsidRPr="002C4AB9">
        <w:rPr>
          <w:color w:val="000000" w:themeColor="text1"/>
        </w:rPr>
        <w:t xml:space="preserve">A </w:t>
      </w:r>
      <w:r w:rsidR="00901C1D">
        <w:rPr>
          <w:color w:val="000000" w:themeColor="text1"/>
        </w:rPr>
        <w:t>nemzeti versenyhatóság a megismételt eljárásban</w:t>
      </w:r>
      <w:r w:rsidRPr="002C4AB9">
        <w:rPr>
          <w:color w:val="000000" w:themeColor="text1"/>
        </w:rPr>
        <w:t xml:space="preserve"> a bírság újra számolásánál figyelembe vette, hogy a vállalkozás egy termékes kis- és középvállalkozó, valamint azt, hogy</w:t>
      </w:r>
      <w:r w:rsidR="0056166D">
        <w:rPr>
          <w:color w:val="000000" w:themeColor="text1"/>
        </w:rPr>
        <w:t xml:space="preserve"> az új eljárásban együttműködő volt és lemondott a jogorvoslati jog</w:t>
      </w:r>
      <w:r w:rsidR="00FD16C5">
        <w:rPr>
          <w:color w:val="000000" w:themeColor="text1"/>
        </w:rPr>
        <w:t>á</w:t>
      </w:r>
      <w:r w:rsidR="0056166D">
        <w:rPr>
          <w:color w:val="000000" w:themeColor="text1"/>
        </w:rPr>
        <w:t>ról.</w:t>
      </w:r>
      <w:r w:rsidRPr="002C4AB9">
        <w:rPr>
          <w:color w:val="000000" w:themeColor="text1"/>
        </w:rPr>
        <w:t xml:space="preserve"> </w:t>
      </w:r>
      <w:r w:rsidR="0056166D">
        <w:rPr>
          <w:color w:val="000000" w:themeColor="text1"/>
        </w:rPr>
        <w:t xml:space="preserve">Mindemellett a cég </w:t>
      </w:r>
      <w:r w:rsidRPr="002C4AB9">
        <w:rPr>
          <w:color w:val="000000" w:themeColor="text1"/>
        </w:rPr>
        <w:t xml:space="preserve">vállalta </w:t>
      </w:r>
      <w:r w:rsidR="00FF4B16">
        <w:rPr>
          <w:color w:val="000000" w:themeColor="text1"/>
        </w:rPr>
        <w:t>a</w:t>
      </w:r>
      <w:r w:rsidRPr="002C4AB9">
        <w:rPr>
          <w:color w:val="000000" w:themeColor="text1"/>
        </w:rPr>
        <w:t xml:space="preserve"> megfelelési program</w:t>
      </w:r>
      <w:r w:rsidR="00FF4B16">
        <w:rPr>
          <w:color w:val="000000" w:themeColor="text1"/>
        </w:rPr>
        <w:t>jának fejlesztését</w:t>
      </w:r>
      <w:r w:rsidRPr="002C4AB9">
        <w:rPr>
          <w:color w:val="000000" w:themeColor="text1"/>
        </w:rPr>
        <w:t xml:space="preserve"> a</w:t>
      </w:r>
      <w:r w:rsidR="00E362FC">
        <w:rPr>
          <w:color w:val="000000" w:themeColor="text1"/>
        </w:rPr>
        <w:t xml:space="preserve"> jövőbeli</w:t>
      </w:r>
      <w:r w:rsidRPr="002C4AB9">
        <w:rPr>
          <w:color w:val="000000" w:themeColor="text1"/>
        </w:rPr>
        <w:t xml:space="preserve"> </w:t>
      </w:r>
      <w:r w:rsidR="0056166D">
        <w:rPr>
          <w:color w:val="000000" w:themeColor="text1"/>
        </w:rPr>
        <w:t xml:space="preserve">jogkövető kereskedelmi gyakorlat </w:t>
      </w:r>
      <w:r w:rsidR="00323F9E">
        <w:rPr>
          <w:color w:val="000000" w:themeColor="text1"/>
        </w:rPr>
        <w:t xml:space="preserve">biztosítása </w:t>
      </w:r>
      <w:r w:rsidR="0056166D">
        <w:rPr>
          <w:color w:val="000000" w:themeColor="text1"/>
        </w:rPr>
        <w:t>érdekében.</w:t>
      </w:r>
    </w:p>
    <w:p w14:paraId="6D055627" w14:textId="32BF8F87" w:rsidR="002C4AB9" w:rsidRPr="002C4AB9" w:rsidRDefault="002C4AB9" w:rsidP="002C4AB9">
      <w:pPr>
        <w:spacing w:before="120" w:after="120" w:line="240" w:lineRule="auto"/>
      </w:pPr>
      <w:r>
        <w:t xml:space="preserve">A Gazdasági Versenyhivatalnak nem elsődleges célja a bírságolás, a nemzeti versenyhatóság ezért </w:t>
      </w:r>
      <w:hyperlink r:id="rId10" w:history="1">
        <w:r w:rsidRPr="00DB3DAF">
          <w:rPr>
            <w:rStyle w:val="Hiperhivatkozs"/>
          </w:rPr>
          <w:t>számos együttműködési lehetőséget kínál</w:t>
        </w:r>
      </w:hyperlink>
      <w:r>
        <w:t xml:space="preserve"> a vállalkozások számára, aktív együttműködéssel az eljárások során is</w:t>
      </w:r>
      <w:r w:rsidR="0056166D">
        <w:t xml:space="preserve"> jelentősen</w:t>
      </w:r>
      <w:r>
        <w:t xml:space="preserve"> mérsékelhető a bírságösszeg.</w:t>
      </w:r>
    </w:p>
    <w:p w14:paraId="10B85705" w14:textId="77777777" w:rsidR="00D75E33" w:rsidRDefault="00D75E33" w:rsidP="00A87089">
      <w:pPr>
        <w:spacing w:after="0"/>
        <w:rPr>
          <w:b/>
          <w:bCs/>
        </w:rPr>
      </w:pPr>
    </w:p>
    <w:p w14:paraId="46B5F357" w14:textId="59F89377" w:rsidR="00361831" w:rsidRPr="00A87089" w:rsidRDefault="00361831" w:rsidP="00A87089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76D261F2" w:rsidR="002A426E" w:rsidRDefault="00361831" w:rsidP="00781F02">
      <w:pPr>
        <w:spacing w:after="0"/>
      </w:pPr>
      <w:r>
        <w:t>Gondolovics Katalin, sajtószóvivő +36 30 603 1170</w:t>
      </w:r>
    </w:p>
    <w:sectPr w:rsidR="002A426E" w:rsidSect="00825424">
      <w:footerReference w:type="default" r:id="rId11"/>
      <w:headerReference w:type="first" r:id="rId12"/>
      <w:footerReference w:type="first" r:id="rId13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ED93" w14:textId="77777777" w:rsidR="00DD0DC4" w:rsidRDefault="00DD0DC4">
      <w:pPr>
        <w:spacing w:after="0" w:line="240" w:lineRule="auto"/>
      </w:pPr>
      <w:r>
        <w:separator/>
      </w:r>
    </w:p>
  </w:endnote>
  <w:endnote w:type="continuationSeparator" w:id="0">
    <w:p w14:paraId="6BBEEAEB" w14:textId="77777777" w:rsidR="00DD0DC4" w:rsidRDefault="00DD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274661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274661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AD683" w14:textId="77777777" w:rsidR="00DD0DC4" w:rsidRDefault="00DD0DC4">
      <w:pPr>
        <w:spacing w:after="0" w:line="240" w:lineRule="auto"/>
      </w:pPr>
      <w:r>
        <w:separator/>
      </w:r>
    </w:p>
  </w:footnote>
  <w:footnote w:type="continuationSeparator" w:id="0">
    <w:p w14:paraId="3FE12B0A" w14:textId="77777777" w:rsidR="00DD0DC4" w:rsidRDefault="00DD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274661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841"/>
    <w:multiLevelType w:val="hybridMultilevel"/>
    <w:tmpl w:val="BA68BDFC"/>
    <w:lvl w:ilvl="0" w:tplc="61F45D74">
      <w:start w:val="1"/>
      <w:numFmt w:val="upperLetter"/>
      <w:lvlText w:val="%1.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45B20FCE"/>
    <w:multiLevelType w:val="hybridMultilevel"/>
    <w:tmpl w:val="DA2C6C72"/>
    <w:lvl w:ilvl="0" w:tplc="7E1205E8">
      <w:start w:val="1"/>
      <w:numFmt w:val="decimal"/>
      <w:lvlText w:val="%1."/>
      <w:lvlJc w:val="left"/>
      <w:pPr>
        <w:ind w:left="2912" w:hanging="360"/>
      </w:pPr>
      <w:rPr>
        <w:b w:val="0"/>
        <w:bCs/>
        <w:i w:val="0"/>
        <w:color w:val="auto"/>
        <w:sz w:val="24"/>
        <w:szCs w:val="24"/>
      </w:rPr>
    </w:lvl>
    <w:lvl w:ilvl="1" w:tplc="18EEC008">
      <w:start w:val="5"/>
      <w:numFmt w:val="bullet"/>
      <w:lvlText w:val="-"/>
      <w:lvlJc w:val="left"/>
      <w:pPr>
        <w:ind w:left="3632" w:hanging="360"/>
      </w:pPr>
      <w:rPr>
        <w:rFonts w:ascii="Times New Roman" w:eastAsia="Calibri" w:hAnsi="Times New Roman" w:cs="Times New Roman" w:hint="default"/>
      </w:rPr>
    </w:lvl>
    <w:lvl w:ilvl="2" w:tplc="040E0003">
      <w:start w:val="1"/>
      <w:numFmt w:val="bullet"/>
      <w:lvlText w:val="o"/>
      <w:lvlJc w:val="left"/>
      <w:pPr>
        <w:ind w:left="4352" w:hanging="180"/>
      </w:pPr>
      <w:rPr>
        <w:rFonts w:ascii="Courier New" w:hAnsi="Courier New" w:cs="Courier New" w:hint="default"/>
      </w:rPr>
    </w:lvl>
    <w:lvl w:ilvl="3" w:tplc="DFFA3E9E">
      <w:start w:val="1"/>
      <w:numFmt w:val="upperLetter"/>
      <w:lvlText w:val="%4."/>
      <w:lvlJc w:val="left"/>
      <w:pPr>
        <w:ind w:left="5072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536190523">
    <w:abstractNumId w:val="1"/>
  </w:num>
  <w:num w:numId="2" w16cid:durableId="173654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154C1"/>
    <w:rsid w:val="0002677C"/>
    <w:rsid w:val="00053FAF"/>
    <w:rsid w:val="00055453"/>
    <w:rsid w:val="00057D8B"/>
    <w:rsid w:val="0009552C"/>
    <w:rsid w:val="000C11C5"/>
    <w:rsid w:val="000C16F7"/>
    <w:rsid w:val="000D02B9"/>
    <w:rsid w:val="000F67F0"/>
    <w:rsid w:val="001215EE"/>
    <w:rsid w:val="001407FC"/>
    <w:rsid w:val="001431B4"/>
    <w:rsid w:val="00167BF7"/>
    <w:rsid w:val="001A31BE"/>
    <w:rsid w:val="001B7AA9"/>
    <w:rsid w:val="001C7C4E"/>
    <w:rsid w:val="001E0718"/>
    <w:rsid w:val="00202D48"/>
    <w:rsid w:val="00206DF4"/>
    <w:rsid w:val="002574F3"/>
    <w:rsid w:val="00274661"/>
    <w:rsid w:val="00296DAA"/>
    <w:rsid w:val="002A0E05"/>
    <w:rsid w:val="002A426E"/>
    <w:rsid w:val="002A5C8B"/>
    <w:rsid w:val="002C4AB9"/>
    <w:rsid w:val="002C679E"/>
    <w:rsid w:val="002D7A9E"/>
    <w:rsid w:val="002E0749"/>
    <w:rsid w:val="00304F9C"/>
    <w:rsid w:val="00323F9E"/>
    <w:rsid w:val="00331DA9"/>
    <w:rsid w:val="003415CE"/>
    <w:rsid w:val="00361831"/>
    <w:rsid w:val="00370F1F"/>
    <w:rsid w:val="00372DAB"/>
    <w:rsid w:val="003C51E4"/>
    <w:rsid w:val="003D38C6"/>
    <w:rsid w:val="003D7552"/>
    <w:rsid w:val="003E675C"/>
    <w:rsid w:val="003F10DE"/>
    <w:rsid w:val="00402F45"/>
    <w:rsid w:val="0040671E"/>
    <w:rsid w:val="00424B8A"/>
    <w:rsid w:val="00430D05"/>
    <w:rsid w:val="004413B5"/>
    <w:rsid w:val="00446040"/>
    <w:rsid w:val="00463C33"/>
    <w:rsid w:val="00491BFC"/>
    <w:rsid w:val="004B3DBB"/>
    <w:rsid w:val="004C64BF"/>
    <w:rsid w:val="00545903"/>
    <w:rsid w:val="005566B7"/>
    <w:rsid w:val="0056166D"/>
    <w:rsid w:val="005A384B"/>
    <w:rsid w:val="005A4856"/>
    <w:rsid w:val="005B31C0"/>
    <w:rsid w:val="005C4D03"/>
    <w:rsid w:val="005E13E7"/>
    <w:rsid w:val="005E7373"/>
    <w:rsid w:val="00617061"/>
    <w:rsid w:val="00626E97"/>
    <w:rsid w:val="006368CF"/>
    <w:rsid w:val="00662D35"/>
    <w:rsid w:val="00674402"/>
    <w:rsid w:val="006B1F51"/>
    <w:rsid w:val="006B4B0A"/>
    <w:rsid w:val="006B5E56"/>
    <w:rsid w:val="006F4B6A"/>
    <w:rsid w:val="006F5A28"/>
    <w:rsid w:val="0071620B"/>
    <w:rsid w:val="0072038E"/>
    <w:rsid w:val="00721117"/>
    <w:rsid w:val="00721F53"/>
    <w:rsid w:val="00736F52"/>
    <w:rsid w:val="0073744B"/>
    <w:rsid w:val="00756B86"/>
    <w:rsid w:val="0076380A"/>
    <w:rsid w:val="00781F02"/>
    <w:rsid w:val="007C02EC"/>
    <w:rsid w:val="007C6DFA"/>
    <w:rsid w:val="00811EE1"/>
    <w:rsid w:val="00825A2A"/>
    <w:rsid w:val="008302EE"/>
    <w:rsid w:val="00832B9F"/>
    <w:rsid w:val="00835934"/>
    <w:rsid w:val="008872CD"/>
    <w:rsid w:val="008927DB"/>
    <w:rsid w:val="008C44CC"/>
    <w:rsid w:val="00901C1D"/>
    <w:rsid w:val="00904062"/>
    <w:rsid w:val="00905BBD"/>
    <w:rsid w:val="00933AD1"/>
    <w:rsid w:val="0094208B"/>
    <w:rsid w:val="00956CBA"/>
    <w:rsid w:val="00981556"/>
    <w:rsid w:val="009C2511"/>
    <w:rsid w:val="009D5FBA"/>
    <w:rsid w:val="009F6C0F"/>
    <w:rsid w:val="00A431F4"/>
    <w:rsid w:val="00A444F7"/>
    <w:rsid w:val="00A5193E"/>
    <w:rsid w:val="00A577FC"/>
    <w:rsid w:val="00A715B2"/>
    <w:rsid w:val="00A87089"/>
    <w:rsid w:val="00A87DC9"/>
    <w:rsid w:val="00A96E66"/>
    <w:rsid w:val="00AB23A7"/>
    <w:rsid w:val="00AF57BF"/>
    <w:rsid w:val="00B44630"/>
    <w:rsid w:val="00B6413F"/>
    <w:rsid w:val="00B85494"/>
    <w:rsid w:val="00BC4099"/>
    <w:rsid w:val="00BD7B13"/>
    <w:rsid w:val="00C42313"/>
    <w:rsid w:val="00C70971"/>
    <w:rsid w:val="00C72051"/>
    <w:rsid w:val="00C72C9D"/>
    <w:rsid w:val="00C87708"/>
    <w:rsid w:val="00CA2EBA"/>
    <w:rsid w:val="00CB0005"/>
    <w:rsid w:val="00CB142A"/>
    <w:rsid w:val="00CD63D8"/>
    <w:rsid w:val="00CE2152"/>
    <w:rsid w:val="00D00DA5"/>
    <w:rsid w:val="00D213C7"/>
    <w:rsid w:val="00D31443"/>
    <w:rsid w:val="00D35E51"/>
    <w:rsid w:val="00D75E33"/>
    <w:rsid w:val="00D800AE"/>
    <w:rsid w:val="00DB3DAF"/>
    <w:rsid w:val="00DB780D"/>
    <w:rsid w:val="00DD0DC4"/>
    <w:rsid w:val="00DF35CB"/>
    <w:rsid w:val="00E04BCF"/>
    <w:rsid w:val="00E33ACD"/>
    <w:rsid w:val="00E362FC"/>
    <w:rsid w:val="00E45607"/>
    <w:rsid w:val="00E45E74"/>
    <w:rsid w:val="00E665BD"/>
    <w:rsid w:val="00EC4637"/>
    <w:rsid w:val="00EE08F1"/>
    <w:rsid w:val="00EE0B58"/>
    <w:rsid w:val="00EE2BC8"/>
    <w:rsid w:val="00EF4B34"/>
    <w:rsid w:val="00F13997"/>
    <w:rsid w:val="00F22CD6"/>
    <w:rsid w:val="00F261FE"/>
    <w:rsid w:val="00F46BEA"/>
    <w:rsid w:val="00F67C62"/>
    <w:rsid w:val="00F74FB9"/>
    <w:rsid w:val="00F833A1"/>
    <w:rsid w:val="00F96ED4"/>
    <w:rsid w:val="00FA1F0A"/>
    <w:rsid w:val="00FD16C5"/>
    <w:rsid w:val="00FD56E1"/>
    <w:rsid w:val="00FE2939"/>
    <w:rsid w:val="00FE739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6ED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6ED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96ED4"/>
    <w:rPr>
      <w:vertAlign w:val="superscript"/>
    </w:rPr>
  </w:style>
  <w:style w:type="paragraph" w:styleId="Listaszerbekezds">
    <w:name w:val="List Paragraph"/>
    <w:aliases w:val="Számozott lista 1,Listaszerű bekezdés1,List Paragraph1,Welt L,#Listenabsatz,Figure_name,Equipment,Numbered Indented Text,List Paragraph Char Char Char,List Paragraph Char Char,Bullet 1,b1"/>
    <w:basedOn w:val="Norml"/>
    <w:link w:val="ListaszerbekezdsChar"/>
    <w:uiPriority w:val="34"/>
    <w:qFormat/>
    <w:rsid w:val="00F74FB9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#Listenabsatz Char,Figure_name Char,Equipment Char,Numbered Indented Text Char,List Paragraph Char Char Char Char,List Paragraph Char Char Char1"/>
    <w:link w:val="Listaszerbekezds"/>
    <w:uiPriority w:val="34"/>
    <w:rsid w:val="00F74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0-as-sajtokozlemenyek/ismet-jogsertoen-reklamoztak-a-calcitrio-t-birsagolt-a-gv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vh.hu/pfile/file?path=/szakmai_felhasznaloknak/tajekoztatok/Tajekoztato_a_Gazdasagi_Versenyhivatallal_valo_egyuttmukodesi_lehetosegekrol_es_azok_elonyeirol_230328.pdf1&amp;inline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HU/ALL/?uri=CELEX%3A32012R043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3105</Characters>
  <Application>Microsoft Office Word</Application>
  <DocSecurity>4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Horváth Bálint dr.</cp:lastModifiedBy>
  <cp:revision>2</cp:revision>
  <dcterms:created xsi:type="dcterms:W3CDTF">2024-09-09T10:13:00Z</dcterms:created>
  <dcterms:modified xsi:type="dcterms:W3CDTF">2024-09-09T10:13:00Z</dcterms:modified>
</cp:coreProperties>
</file>