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9377" w14:textId="7AA48DDB" w:rsidR="00361831" w:rsidRDefault="003D38C6" w:rsidP="00956CBA">
      <w:pPr>
        <w:tabs>
          <w:tab w:val="left" w:pos="567"/>
        </w:tabs>
        <w:spacing w:after="8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PET palackokkal kapcsolatos z</w:t>
      </w:r>
      <w:r w:rsidR="00956CBA">
        <w:rPr>
          <w:b/>
          <w:sz w:val="28"/>
          <w:szCs w:val="28"/>
        </w:rPr>
        <w:t>öld állításokat vizsgál a GVH</w:t>
      </w:r>
    </w:p>
    <w:p w14:paraId="15E30212" w14:textId="433CA022" w:rsidR="00FD56E1" w:rsidRPr="00FD56E1" w:rsidRDefault="00FD56E1" w:rsidP="00956CBA">
      <w:pPr>
        <w:tabs>
          <w:tab w:val="left" w:pos="567"/>
        </w:tabs>
        <w:spacing w:after="80"/>
        <w:rPr>
          <w:b/>
          <w:i/>
          <w:iCs/>
        </w:rPr>
      </w:pPr>
      <w:r>
        <w:rPr>
          <w:b/>
          <w:i/>
          <w:iCs/>
        </w:rPr>
        <w:t>Több céget is eljárás alá vont a versenyhatóság</w:t>
      </w:r>
    </w:p>
    <w:p w14:paraId="7A266395" w14:textId="5D817950" w:rsidR="002E0749" w:rsidRDefault="00361831" w:rsidP="002E0749">
      <w:pPr>
        <w:tabs>
          <w:tab w:val="left" w:pos="567"/>
        </w:tabs>
        <w:spacing w:after="80"/>
        <w:rPr>
          <w:rStyle w:val="Kiemels2"/>
          <w:rFonts w:eastAsiaTheme="majorEastAsia"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 w:rsidR="00956CBA">
        <w:rPr>
          <w:b/>
        </w:rPr>
        <w:t xml:space="preserve"> augusztus</w:t>
      </w:r>
      <w:r w:rsidR="00FD56E1">
        <w:rPr>
          <w:b/>
        </w:rPr>
        <w:t xml:space="preserve"> 1</w:t>
      </w:r>
      <w:r w:rsidR="000C16F7">
        <w:rPr>
          <w:b/>
        </w:rPr>
        <w:t>2</w:t>
      </w:r>
      <w:r w:rsidR="00FD56E1">
        <w:rPr>
          <w:b/>
        </w:rPr>
        <w:t>.</w:t>
      </w:r>
      <w:r w:rsidR="00D800AE">
        <w:rPr>
          <w:b/>
        </w:rPr>
        <w:t xml:space="preserve"> </w:t>
      </w:r>
      <w:r w:rsidRPr="00257907">
        <w:rPr>
          <w:b/>
        </w:rPr>
        <w:t>–</w:t>
      </w:r>
      <w:r>
        <w:rPr>
          <w:b/>
        </w:rPr>
        <w:t xml:space="preserve"> </w:t>
      </w:r>
      <w:bookmarkEnd w:id="0"/>
      <w:r w:rsidR="004413B5">
        <w:rPr>
          <w:rStyle w:val="Kiemels2"/>
          <w:rFonts w:eastAsiaTheme="majorEastAsia"/>
        </w:rPr>
        <w:t xml:space="preserve">A Gazdasági Versenyhivatal (GVH) </w:t>
      </w:r>
      <w:r w:rsidR="009F6C0F">
        <w:rPr>
          <w:rStyle w:val="Kiemels2"/>
          <w:rFonts w:eastAsiaTheme="majorEastAsia"/>
        </w:rPr>
        <w:t xml:space="preserve">párhuzamosan </w:t>
      </w:r>
      <w:r w:rsidR="00956CBA">
        <w:rPr>
          <w:rStyle w:val="Kiemels2"/>
          <w:rFonts w:eastAsiaTheme="majorEastAsia"/>
        </w:rPr>
        <w:t xml:space="preserve">több vállalkozással szemben is eljárást indított, mivel </w:t>
      </w:r>
      <w:r w:rsidR="002E0749">
        <w:rPr>
          <w:rStyle w:val="Kiemels2"/>
          <w:rFonts w:eastAsiaTheme="majorEastAsia"/>
        </w:rPr>
        <w:t xml:space="preserve">az </w:t>
      </w:r>
      <w:r w:rsidR="00956CBA">
        <w:rPr>
          <w:rStyle w:val="Kiemels2"/>
          <w:rFonts w:eastAsiaTheme="majorEastAsia"/>
        </w:rPr>
        <w:t>ásványviz</w:t>
      </w:r>
      <w:r w:rsidR="002E0749">
        <w:rPr>
          <w:rStyle w:val="Kiemels2"/>
          <w:rFonts w:eastAsiaTheme="majorEastAsia"/>
        </w:rPr>
        <w:t>es</w:t>
      </w:r>
      <w:r w:rsidR="00956CBA">
        <w:rPr>
          <w:rStyle w:val="Kiemels2"/>
          <w:rFonts w:eastAsiaTheme="majorEastAsia"/>
        </w:rPr>
        <w:t xml:space="preserve"> és üdítőitalo</w:t>
      </w:r>
      <w:r w:rsidR="002E0749">
        <w:rPr>
          <w:rStyle w:val="Kiemels2"/>
          <w:rFonts w:eastAsiaTheme="majorEastAsia"/>
        </w:rPr>
        <w:t>s palackok</w:t>
      </w:r>
      <w:r w:rsidR="00956CBA">
        <w:rPr>
          <w:rStyle w:val="Kiemels2"/>
          <w:rFonts w:eastAsiaTheme="majorEastAsia"/>
        </w:rPr>
        <w:t xml:space="preserve"> címkéin feltüntetett</w:t>
      </w:r>
      <w:r w:rsidR="002E0749">
        <w:rPr>
          <w:rStyle w:val="Kiemels2"/>
          <w:rFonts w:eastAsiaTheme="majorEastAsia"/>
        </w:rPr>
        <w:t>,</w:t>
      </w:r>
      <w:r w:rsidR="00617061" w:rsidRPr="00617061">
        <w:t xml:space="preserve"> </w:t>
      </w:r>
      <w:r w:rsidR="00617061" w:rsidRPr="00617061">
        <w:rPr>
          <w:rStyle w:val="Kiemels2"/>
          <w:rFonts w:eastAsiaTheme="majorEastAsia"/>
        </w:rPr>
        <w:t xml:space="preserve">és egyéb kereskedelmi kommunikációjukban </w:t>
      </w:r>
      <w:r w:rsidR="00617061">
        <w:rPr>
          <w:rStyle w:val="Kiemels2"/>
          <w:rFonts w:eastAsiaTheme="majorEastAsia"/>
        </w:rPr>
        <w:t xml:space="preserve">alkalmazott, </w:t>
      </w:r>
      <w:r w:rsidR="002E0749">
        <w:rPr>
          <w:rStyle w:val="Kiemels2"/>
          <w:rFonts w:eastAsiaTheme="majorEastAsia"/>
        </w:rPr>
        <w:t>a termék környezeti hatásaira vonatkozó</w:t>
      </w:r>
      <w:r w:rsidR="00956CBA">
        <w:rPr>
          <w:rStyle w:val="Kiemels2"/>
          <w:rFonts w:eastAsiaTheme="majorEastAsia"/>
        </w:rPr>
        <w:t xml:space="preserve"> állításokkal valószínűsíthetően megtévesztették a fogyasztókat.</w:t>
      </w:r>
    </w:p>
    <w:p w14:paraId="4DC4D966" w14:textId="17BD84F9" w:rsidR="00D800AE" w:rsidRDefault="002E0749" w:rsidP="00D800AE">
      <w:pPr>
        <w:tabs>
          <w:tab w:val="left" w:pos="567"/>
        </w:tabs>
        <w:spacing w:after="80"/>
      </w:pPr>
      <w:r w:rsidRPr="002E0749">
        <w:rPr>
          <w:bCs/>
        </w:rPr>
        <w:t xml:space="preserve">A </w:t>
      </w:r>
      <w:r>
        <w:rPr>
          <w:bCs/>
        </w:rPr>
        <w:t>Gazdasági Versenyhivatal gyanúja szerint a</w:t>
      </w:r>
      <w:r w:rsidRPr="002E0749">
        <w:t xml:space="preserve"> </w:t>
      </w:r>
      <w:proofErr w:type="spellStart"/>
      <w:r w:rsidR="00FD56E1">
        <w:rPr>
          <w:b/>
          <w:bCs/>
        </w:rPr>
        <w:t>Fonte</w:t>
      </w:r>
      <w:proofErr w:type="spellEnd"/>
      <w:r w:rsidR="00FD56E1">
        <w:rPr>
          <w:b/>
          <w:bCs/>
        </w:rPr>
        <w:t xml:space="preserve"> </w:t>
      </w:r>
      <w:proofErr w:type="spellStart"/>
      <w:r w:rsidR="00FD56E1">
        <w:rPr>
          <w:b/>
          <w:bCs/>
        </w:rPr>
        <w:t>Viva</w:t>
      </w:r>
      <w:proofErr w:type="spellEnd"/>
      <w:r w:rsidR="00FD56E1">
        <w:rPr>
          <w:b/>
          <w:bCs/>
        </w:rPr>
        <w:t xml:space="preserve"> Kft</w:t>
      </w:r>
      <w:r w:rsidRPr="00D800AE">
        <w:rPr>
          <w:b/>
          <w:bCs/>
        </w:rPr>
        <w:t>.</w:t>
      </w:r>
      <w:r>
        <w:t xml:space="preserve"> </w:t>
      </w:r>
      <w:r w:rsidRPr="002E0749">
        <w:t>2022. március 9</w:t>
      </w:r>
      <w:r>
        <w:t xml:space="preserve">-től </w:t>
      </w:r>
      <w:r w:rsidRPr="002E0749">
        <w:t xml:space="preserve">a </w:t>
      </w:r>
      <w:proofErr w:type="spellStart"/>
      <w:r w:rsidRPr="002E0749">
        <w:t>Fonte</w:t>
      </w:r>
      <w:proofErr w:type="spellEnd"/>
      <w:r w:rsidRPr="002E0749">
        <w:t xml:space="preserve"> </w:t>
      </w:r>
      <w:proofErr w:type="spellStart"/>
      <w:r w:rsidRPr="002E0749">
        <w:t>Natura</w:t>
      </w:r>
      <w:proofErr w:type="spellEnd"/>
      <w:r w:rsidRPr="002E0749">
        <w:t xml:space="preserve"> ásványvizek címkéin és a termék</w:t>
      </w:r>
      <w:r>
        <w:t>et</w:t>
      </w:r>
      <w:r w:rsidRPr="002E0749">
        <w:t xml:space="preserve"> népszerűs</w:t>
      </w:r>
      <w:r>
        <w:t xml:space="preserve">ítő </w:t>
      </w:r>
      <w:r w:rsidRPr="002E0749">
        <w:t>kereskedelmi kommunikációjában</w:t>
      </w:r>
      <w:r>
        <w:t xml:space="preserve"> megfogalmazott állításaival </w:t>
      </w:r>
      <w:r w:rsidR="00617061">
        <w:rPr>
          <w:i/>
          <w:iCs/>
        </w:rPr>
        <w:t xml:space="preserve">pl. a </w:t>
      </w:r>
      <w:r w:rsidRPr="00FD56E1">
        <w:rPr>
          <w:i/>
          <w:iCs/>
        </w:rPr>
        <w:t>„100% újrahasznosított PET-palackban”</w:t>
      </w:r>
      <w:r>
        <w:t>,</w:t>
      </w:r>
      <w:r w:rsidRPr="002E0749">
        <w:t xml:space="preserve"> </w:t>
      </w:r>
      <w:r w:rsidRPr="00FD56E1">
        <w:rPr>
          <w:i/>
          <w:iCs/>
        </w:rPr>
        <w:t xml:space="preserve">„100% </w:t>
      </w:r>
      <w:proofErr w:type="spellStart"/>
      <w:r w:rsidRPr="00FD56E1">
        <w:rPr>
          <w:i/>
          <w:iCs/>
        </w:rPr>
        <w:t>rePET</w:t>
      </w:r>
      <w:proofErr w:type="spellEnd"/>
      <w:r w:rsidRPr="00FD56E1">
        <w:rPr>
          <w:i/>
          <w:iCs/>
        </w:rPr>
        <w:t>”</w:t>
      </w:r>
      <w:r w:rsidRPr="002E0749">
        <w:t xml:space="preserve">, </w:t>
      </w:r>
      <w:r w:rsidRPr="00FD56E1">
        <w:rPr>
          <w:i/>
          <w:iCs/>
        </w:rPr>
        <w:t xml:space="preserve">„100% </w:t>
      </w:r>
      <w:proofErr w:type="spellStart"/>
      <w:r w:rsidRPr="00FD56E1">
        <w:rPr>
          <w:i/>
          <w:iCs/>
        </w:rPr>
        <w:t>rePET</w:t>
      </w:r>
      <w:proofErr w:type="spellEnd"/>
      <w:r w:rsidRPr="00FD56E1">
        <w:rPr>
          <w:i/>
          <w:iCs/>
        </w:rPr>
        <w:t xml:space="preserve"> palackból palack”</w:t>
      </w:r>
      <w:r>
        <w:t xml:space="preserve"> </w:t>
      </w:r>
      <w:r w:rsidR="00617061">
        <w:t xml:space="preserve">szlogenekkel </w:t>
      </w:r>
      <w:r>
        <w:t>megtévesztette a fogyasztókat.</w:t>
      </w:r>
    </w:p>
    <w:p w14:paraId="3B9A5331" w14:textId="3DF80AD0" w:rsidR="00D800AE" w:rsidRDefault="00D800AE" w:rsidP="00D800AE">
      <w:pPr>
        <w:tabs>
          <w:tab w:val="left" w:pos="567"/>
        </w:tabs>
        <w:spacing w:after="80"/>
      </w:pPr>
      <w:r>
        <w:t xml:space="preserve">A </w:t>
      </w:r>
      <w:r w:rsidRPr="00D800AE">
        <w:rPr>
          <w:b/>
          <w:bCs/>
        </w:rPr>
        <w:t>Szentkirályi Magyarország Kft.</w:t>
      </w:r>
      <w:r>
        <w:t xml:space="preserve"> 2019. november 18-tól a Szentkirályi ásványvizek és ízesített italok címkéin és kereskedelmi kommunikációjában </w:t>
      </w:r>
      <w:r w:rsidRPr="00D800AE">
        <w:t>a „</w:t>
      </w:r>
      <w:r w:rsidRPr="00D800AE">
        <w:rPr>
          <w:i/>
          <w:iCs/>
        </w:rPr>
        <w:t>Szállj be a körforgásba”</w:t>
      </w:r>
      <w:r w:rsidRPr="00D800AE">
        <w:t xml:space="preserve"> körforgásos rendszert hirdeti, amelynek keretében a</w:t>
      </w:r>
      <w:r w:rsidRPr="00D800AE">
        <w:rPr>
          <w:i/>
          <w:iCs/>
        </w:rPr>
        <w:t xml:space="preserve"> „Gyűjtsd szelektíven!”, „100%-ban újrahasznosítható”, „Palackból palackot, 50% </w:t>
      </w:r>
      <w:proofErr w:type="spellStart"/>
      <w:r w:rsidRPr="00D800AE">
        <w:rPr>
          <w:i/>
          <w:iCs/>
        </w:rPr>
        <w:t>rePET</w:t>
      </w:r>
      <w:proofErr w:type="spellEnd"/>
      <w:r w:rsidRPr="00D800AE">
        <w:rPr>
          <w:i/>
          <w:iCs/>
        </w:rPr>
        <w:t xml:space="preserve">”, </w:t>
      </w:r>
      <w:r w:rsidRPr="00D800AE">
        <w:t>és ehhez hasonló jelentéstartalmú állításokkal</w:t>
      </w:r>
      <w:r>
        <w:t xml:space="preserve"> és </w:t>
      </w:r>
      <w:r w:rsidRPr="00D800AE">
        <w:t xml:space="preserve">képi megjelenítésével </w:t>
      </w:r>
      <w:r w:rsidRPr="00D800AE">
        <w:rPr>
          <w:bCs/>
        </w:rPr>
        <w:t xml:space="preserve">valószínűsíthetően </w:t>
      </w:r>
      <w:r w:rsidR="00617061">
        <w:rPr>
          <w:bCs/>
        </w:rPr>
        <w:t xml:space="preserve">szintén </w:t>
      </w:r>
      <w:r w:rsidRPr="00D800AE">
        <w:rPr>
          <w:bCs/>
        </w:rPr>
        <w:t>megtéveszt</w:t>
      </w:r>
      <w:r w:rsidR="00617061">
        <w:rPr>
          <w:bCs/>
        </w:rPr>
        <w:t xml:space="preserve">ette a fogyasztókat az egyes, ún. zöld állításokkal. </w:t>
      </w:r>
    </w:p>
    <w:p w14:paraId="37FE6047" w14:textId="26CB408D" w:rsidR="002E0749" w:rsidRDefault="00D800AE" w:rsidP="00EE08F1">
      <w:pPr>
        <w:tabs>
          <w:tab w:val="left" w:pos="567"/>
        </w:tabs>
        <w:spacing w:after="80"/>
      </w:pPr>
      <w:r w:rsidRPr="00D800AE">
        <w:t xml:space="preserve">A GVH vizsgálja továbbá a </w:t>
      </w:r>
      <w:r w:rsidRPr="00FD56E1">
        <w:rPr>
          <w:b/>
          <w:bCs/>
        </w:rPr>
        <w:t xml:space="preserve">Coca-Cola HBC Magyarország </w:t>
      </w:r>
      <w:r w:rsidR="00EE08F1" w:rsidRPr="00FD56E1">
        <w:rPr>
          <w:b/>
          <w:bCs/>
        </w:rPr>
        <w:t>Kft.</w:t>
      </w:r>
      <w:r w:rsidRPr="00D800AE">
        <w:t xml:space="preserve">, a </w:t>
      </w:r>
      <w:r w:rsidRPr="00FD56E1">
        <w:rPr>
          <w:b/>
          <w:bCs/>
        </w:rPr>
        <w:t xml:space="preserve">Coca-Cola Magyarország Szolgáltató </w:t>
      </w:r>
      <w:r w:rsidR="00EE08F1" w:rsidRPr="00FD56E1">
        <w:rPr>
          <w:b/>
          <w:bCs/>
        </w:rPr>
        <w:t>Kft.</w:t>
      </w:r>
      <w:r w:rsidRPr="00D800AE">
        <w:t xml:space="preserve"> és a </w:t>
      </w:r>
      <w:r w:rsidRPr="00FD56E1">
        <w:rPr>
          <w:b/>
          <w:bCs/>
        </w:rPr>
        <w:t xml:space="preserve">The Coca Cola </w:t>
      </w:r>
      <w:proofErr w:type="spellStart"/>
      <w:r w:rsidRPr="00FD56E1">
        <w:rPr>
          <w:b/>
          <w:bCs/>
        </w:rPr>
        <w:t>Company</w:t>
      </w:r>
      <w:proofErr w:type="spellEnd"/>
      <w:r w:rsidRPr="00D800AE">
        <w:t xml:space="preserve"> </w:t>
      </w:r>
      <w:r w:rsidR="00EE08F1">
        <w:t>vállalkozásokat</w:t>
      </w:r>
      <w:r w:rsidR="00617061">
        <w:t xml:space="preserve"> is</w:t>
      </w:r>
      <w:r w:rsidR="00EE08F1">
        <w:t xml:space="preserve">, mivel a gyanúja szerint </w:t>
      </w:r>
      <w:r w:rsidRPr="00D800AE">
        <w:t>2020. december 10</w:t>
      </w:r>
      <w:r w:rsidR="00EE08F1">
        <w:t>-től</w:t>
      </w:r>
      <w:r w:rsidRPr="00D800AE">
        <w:t xml:space="preserve"> a </w:t>
      </w:r>
      <w:proofErr w:type="spellStart"/>
      <w:r w:rsidRPr="00D800AE">
        <w:t>Naturaqua</w:t>
      </w:r>
      <w:proofErr w:type="spellEnd"/>
      <w:r w:rsidRPr="00D800AE">
        <w:t xml:space="preserve"> márkanév alatt forgalmazott ásványvizek és üdítőitalok címkéin és kereskedelmi kommunikációjuk során a </w:t>
      </w:r>
      <w:r w:rsidRPr="00D800AE">
        <w:rPr>
          <w:i/>
          <w:iCs/>
        </w:rPr>
        <w:t>„Hasznosíts újra 100%-ban újrahasznosítható PET palack vagyok”, „100%-ban újrahasznosítható”</w:t>
      </w:r>
      <w:r w:rsidRPr="00D800AE">
        <w:t xml:space="preserve">, valamint az ehhez hasonló jelentéstartalmú állításokkal és a kereskedelmi kommunikáció képi megjelenítésével </w:t>
      </w:r>
      <w:r w:rsidRPr="00D800AE">
        <w:rPr>
          <w:bCs/>
        </w:rPr>
        <w:t xml:space="preserve">valószínűsíthetően </w:t>
      </w:r>
      <w:r w:rsidR="00EE08F1">
        <w:rPr>
          <w:bCs/>
        </w:rPr>
        <w:t xml:space="preserve">megtévesztették a fogyasztókat. </w:t>
      </w:r>
    </w:p>
    <w:p w14:paraId="6128AF78" w14:textId="77777777" w:rsidR="00F67C62" w:rsidRDefault="002E0749" w:rsidP="000D02B9">
      <w:pPr>
        <w:tabs>
          <w:tab w:val="left" w:pos="567"/>
        </w:tabs>
        <w:spacing w:after="80"/>
        <w:rPr>
          <w:color w:val="000000" w:themeColor="text1"/>
          <w:shd w:val="clear" w:color="auto" w:fill="FFFFFF"/>
        </w:rPr>
      </w:pPr>
      <w:r>
        <w:t>A fenti vállalkozások valószínűsíthetően megtévesztő állításaikban közös, hogy azok a termékek</w:t>
      </w:r>
      <w:r w:rsidR="00EE08F1">
        <w:t xml:space="preserve"> lényeges jellemzőire, a</w:t>
      </w:r>
      <w:r>
        <w:t xml:space="preserve"> </w:t>
      </w:r>
      <w:r w:rsidR="00956CBA" w:rsidRPr="00956CBA">
        <w:rPr>
          <w:color w:val="000000" w:themeColor="text1"/>
          <w:shd w:val="clear" w:color="auto" w:fill="FFFFFF"/>
        </w:rPr>
        <w:t xml:space="preserve">környezetre gyakorolt hatásaira vonatkoznak. A </w:t>
      </w:r>
      <w:r>
        <w:rPr>
          <w:color w:val="000000" w:themeColor="text1"/>
          <w:shd w:val="clear" w:color="auto" w:fill="FFFFFF"/>
        </w:rPr>
        <w:t>kifogásolt</w:t>
      </w:r>
      <w:r w:rsidR="00956CBA" w:rsidRPr="00956CBA">
        <w:rPr>
          <w:color w:val="000000" w:themeColor="text1"/>
          <w:shd w:val="clear" w:color="auto" w:fill="FFFFFF"/>
        </w:rPr>
        <w:t xml:space="preserve"> reklámállítás</w:t>
      </w:r>
      <w:r w:rsidR="009F6C0F">
        <w:rPr>
          <w:color w:val="000000" w:themeColor="text1"/>
          <w:shd w:val="clear" w:color="auto" w:fill="FFFFFF"/>
        </w:rPr>
        <w:t xml:space="preserve">ok </w:t>
      </w:r>
      <w:r>
        <w:rPr>
          <w:color w:val="000000" w:themeColor="text1"/>
          <w:shd w:val="clear" w:color="auto" w:fill="FFFFFF"/>
        </w:rPr>
        <w:t xml:space="preserve">azonban </w:t>
      </w:r>
      <w:r w:rsidR="00956CBA" w:rsidRPr="00956CBA">
        <w:rPr>
          <w:color w:val="000000" w:themeColor="text1"/>
          <w:shd w:val="clear" w:color="auto" w:fill="FFFFFF"/>
        </w:rPr>
        <w:t>feltehetően megalapozatlanok, a</w:t>
      </w:r>
      <w:r>
        <w:rPr>
          <w:color w:val="000000" w:themeColor="text1"/>
          <w:shd w:val="clear" w:color="auto" w:fill="FFFFFF"/>
        </w:rPr>
        <w:t xml:space="preserve"> palackok</w:t>
      </w:r>
      <w:r w:rsidR="00956CBA" w:rsidRPr="00956CBA">
        <w:rPr>
          <w:color w:val="000000" w:themeColor="text1"/>
          <w:shd w:val="clear" w:color="auto" w:fill="FFFFFF"/>
        </w:rPr>
        <w:t xml:space="preserve"> környezeti előnyeinek igazolására</w:t>
      </w:r>
      <w:r>
        <w:rPr>
          <w:color w:val="000000" w:themeColor="text1"/>
          <w:shd w:val="clear" w:color="auto" w:fill="FFFFFF"/>
        </w:rPr>
        <w:t xml:space="preserve"> </w:t>
      </w:r>
      <w:r w:rsidR="00956CBA" w:rsidRPr="00956CBA">
        <w:rPr>
          <w:color w:val="000000" w:themeColor="text1"/>
          <w:shd w:val="clear" w:color="auto" w:fill="FFFFFF"/>
        </w:rPr>
        <w:t>a cég</w:t>
      </w:r>
      <w:r>
        <w:rPr>
          <w:color w:val="000000" w:themeColor="text1"/>
          <w:shd w:val="clear" w:color="auto" w:fill="FFFFFF"/>
        </w:rPr>
        <w:t>ek</w:t>
      </w:r>
      <w:r w:rsidR="00956CBA" w:rsidRPr="00956CBA">
        <w:rPr>
          <w:color w:val="000000" w:themeColor="text1"/>
          <w:shd w:val="clear" w:color="auto" w:fill="FFFFFF"/>
        </w:rPr>
        <w:t xml:space="preserve"> valószínűleg nem rendelkez</w:t>
      </w:r>
      <w:r>
        <w:rPr>
          <w:color w:val="000000" w:themeColor="text1"/>
          <w:shd w:val="clear" w:color="auto" w:fill="FFFFFF"/>
        </w:rPr>
        <w:t>nek</w:t>
      </w:r>
      <w:r w:rsidR="00956CBA" w:rsidRPr="00956CBA">
        <w:rPr>
          <w:color w:val="000000" w:themeColor="text1"/>
          <w:shd w:val="clear" w:color="auto" w:fill="FFFFFF"/>
        </w:rPr>
        <w:t xml:space="preserve"> megfelelő bizonyítékkal.</w:t>
      </w:r>
      <w:r w:rsidR="000D02B9">
        <w:rPr>
          <w:color w:val="000000" w:themeColor="text1"/>
          <w:shd w:val="clear" w:color="auto" w:fill="FFFFFF"/>
        </w:rPr>
        <w:t xml:space="preserve"> </w:t>
      </w:r>
    </w:p>
    <w:p w14:paraId="04D8C556" w14:textId="224A1E3A" w:rsidR="00617061" w:rsidRPr="00F67C62" w:rsidRDefault="00617061" w:rsidP="000D02B9">
      <w:pPr>
        <w:tabs>
          <w:tab w:val="left" w:pos="567"/>
        </w:tabs>
        <w:spacing w:after="80"/>
        <w:rPr>
          <w:color w:val="000000" w:themeColor="text1"/>
          <w:shd w:val="clear" w:color="auto" w:fill="FFFFFF"/>
        </w:rPr>
      </w:pPr>
      <w:r w:rsidRPr="00F67C62">
        <w:rPr>
          <w:b/>
          <w:bCs/>
          <w:color w:val="000000" w:themeColor="text1"/>
          <w:shd w:val="clear" w:color="auto" w:fill="FFFFFF"/>
        </w:rPr>
        <w:t>Zöldre mosásnak (</w:t>
      </w:r>
      <w:proofErr w:type="spellStart"/>
      <w:r w:rsidRPr="00F67C62">
        <w:rPr>
          <w:b/>
          <w:bCs/>
          <w:color w:val="000000" w:themeColor="text1"/>
          <w:shd w:val="clear" w:color="auto" w:fill="FFFFFF"/>
        </w:rPr>
        <w:t>greenwashing</w:t>
      </w:r>
      <w:proofErr w:type="spellEnd"/>
      <w:r w:rsidRPr="00F67C62">
        <w:rPr>
          <w:b/>
          <w:bCs/>
          <w:color w:val="000000" w:themeColor="text1"/>
          <w:shd w:val="clear" w:color="auto" w:fill="FFFFFF"/>
        </w:rPr>
        <w:t>)</w:t>
      </w:r>
      <w:r w:rsidRPr="00617061">
        <w:rPr>
          <w:color w:val="000000" w:themeColor="text1"/>
          <w:shd w:val="clear" w:color="auto" w:fill="FFFFFF"/>
        </w:rPr>
        <w:t xml:space="preserve"> nevezzük a vállalkozás olyan marketing- vagy PR-stratégiáját, amely az adott vállalkozást környezetbarátnak, a környezetvédelemért</w:t>
      </w:r>
      <w:r>
        <w:rPr>
          <w:color w:val="000000" w:themeColor="text1"/>
          <w:shd w:val="clear" w:color="auto" w:fill="FFFFFF"/>
        </w:rPr>
        <w:t xml:space="preserve"> </w:t>
      </w:r>
      <w:r w:rsidRPr="00617061">
        <w:rPr>
          <w:color w:val="000000" w:themeColor="text1"/>
          <w:shd w:val="clear" w:color="auto" w:fill="FFFFFF"/>
        </w:rPr>
        <w:t>felelősséget vállalónak tünteti fel, miközben a tényleges működésében nem mutathatók ki</w:t>
      </w:r>
      <w:r>
        <w:rPr>
          <w:color w:val="000000" w:themeColor="text1"/>
          <w:shd w:val="clear" w:color="auto" w:fill="FFFFFF"/>
        </w:rPr>
        <w:t xml:space="preserve"> </w:t>
      </w:r>
      <w:r w:rsidRPr="00617061">
        <w:rPr>
          <w:color w:val="000000" w:themeColor="text1"/>
          <w:shd w:val="clear" w:color="auto" w:fill="FFFFFF"/>
        </w:rPr>
        <w:t>érdemi lépések e célok elérése érdekében. Amennyiben a zöldre mosás a vállalkozás konkrét</w:t>
      </w:r>
      <w:r>
        <w:rPr>
          <w:color w:val="000000" w:themeColor="text1"/>
          <w:shd w:val="clear" w:color="auto" w:fill="FFFFFF"/>
        </w:rPr>
        <w:t xml:space="preserve"> </w:t>
      </w:r>
      <w:r w:rsidRPr="00617061">
        <w:rPr>
          <w:color w:val="000000" w:themeColor="text1"/>
          <w:shd w:val="clear" w:color="auto" w:fill="FFFFFF"/>
        </w:rPr>
        <w:t>marketing</w:t>
      </w:r>
      <w:r>
        <w:rPr>
          <w:color w:val="000000" w:themeColor="text1"/>
          <w:shd w:val="clear" w:color="auto" w:fill="FFFFFF"/>
        </w:rPr>
        <w:t>-</w:t>
      </w:r>
      <w:r w:rsidRPr="00617061">
        <w:rPr>
          <w:color w:val="000000" w:themeColor="text1"/>
          <w:shd w:val="clear" w:color="auto" w:fill="FFFFFF"/>
        </w:rPr>
        <w:t>kommunikációjában jelenik meg, a kifejezés a nem igazolható környezeti</w:t>
      </w:r>
      <w:r>
        <w:rPr>
          <w:color w:val="000000" w:themeColor="text1"/>
          <w:shd w:val="clear" w:color="auto" w:fill="FFFFFF"/>
        </w:rPr>
        <w:t xml:space="preserve"> </w:t>
      </w:r>
      <w:r w:rsidRPr="00617061">
        <w:rPr>
          <w:color w:val="000000" w:themeColor="text1"/>
          <w:shd w:val="clear" w:color="auto" w:fill="FFFFFF"/>
        </w:rPr>
        <w:t>állításokra utal</w:t>
      </w:r>
      <w:r>
        <w:rPr>
          <w:color w:val="000000" w:themeColor="text1"/>
          <w:shd w:val="clear" w:color="auto" w:fill="FFFFFF"/>
        </w:rPr>
        <w:t>.</w:t>
      </w:r>
    </w:p>
    <w:p w14:paraId="2F709330" w14:textId="52F3A700" w:rsidR="009F6C0F" w:rsidRDefault="00011AF6" w:rsidP="00A431F4">
      <w:pPr>
        <w:tabs>
          <w:tab w:val="left" w:pos="567"/>
        </w:tabs>
        <w:spacing w:after="80"/>
      </w:pPr>
      <w:r>
        <w:t>A versenyfelügyeleti eljárás</w:t>
      </w:r>
      <w:r w:rsidR="00FD56E1">
        <w:t>ok</w:t>
      </w:r>
      <w:r>
        <w:t xml:space="preserve"> megindítása nem jelenti annak kimondását, hogy a</w:t>
      </w:r>
      <w:r w:rsidR="00FD56E1">
        <w:t>z érintett</w:t>
      </w:r>
      <w:r>
        <w:t xml:space="preserve"> vállalkozás</w:t>
      </w:r>
      <w:r w:rsidR="00FD56E1">
        <w:t>ok</w:t>
      </w:r>
      <w:r>
        <w:t xml:space="preserve"> a jogsértés</w:t>
      </w:r>
      <w:r w:rsidR="00FD56E1">
        <w:t>eket</w:t>
      </w:r>
      <w:r>
        <w:t xml:space="preserve"> elkövett</w:t>
      </w:r>
      <w:r w:rsidR="00FD56E1">
        <w:t>ék</w:t>
      </w:r>
      <w:r>
        <w:t>. Az eljárás</w:t>
      </w:r>
      <w:r w:rsidR="00FD56E1">
        <w:t>ok</w:t>
      </w:r>
      <w:r>
        <w:t xml:space="preserve"> a tények tisztázására és ezen keresztül a feltételezett jogsértés</w:t>
      </w:r>
      <w:r w:rsidR="00FD56E1">
        <w:t>ek</w:t>
      </w:r>
      <w:r>
        <w:t xml:space="preserve"> bizonyítására irányul</w:t>
      </w:r>
      <w:r w:rsidR="00FD56E1">
        <w:t>nak</w:t>
      </w:r>
      <w:r>
        <w:t xml:space="preserve">. </w:t>
      </w:r>
      <w:r w:rsidR="0094208B">
        <w:t>A vizsgálat</w:t>
      </w:r>
      <w:r w:rsidR="00FD56E1">
        <w:t>ok</w:t>
      </w:r>
      <w:r>
        <w:t xml:space="preserve"> lefolytatására biztosított időtartam három hónap, amely indokolt esetben két alkalommal, egyenként legfeljebb két hónappal meghosszabbítható</w:t>
      </w:r>
      <w:r w:rsidR="00A87DC9">
        <w:t>.</w:t>
      </w:r>
      <w:r w:rsidR="00A431F4">
        <w:t xml:space="preserve"> </w:t>
      </w:r>
      <w:r w:rsidR="009F6C0F" w:rsidRPr="00267528">
        <w:t>A Gazdasági Versenyhivatal felhívja a figyelmet arra, hogy a versenytörvény szerint az ügyfélnek a tényállás tisztázásához szükséges adatok közlésére való felhívásától az annak teljesítéséig terjedő időtartam az ügyintézési határidő</w:t>
      </w:r>
      <w:r w:rsidR="00FD56E1">
        <w:t>k</w:t>
      </w:r>
      <w:r w:rsidR="009F6C0F" w:rsidRPr="00267528">
        <w:t>be nem számít be.</w:t>
      </w:r>
    </w:p>
    <w:p w14:paraId="46A3E48A" w14:textId="3E14DCE6" w:rsidR="00A431F4" w:rsidRDefault="00A431F4" w:rsidP="00A431F4">
      <w:pPr>
        <w:tabs>
          <w:tab w:val="left" w:pos="567"/>
        </w:tabs>
        <w:spacing w:after="80"/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A Gazdasági Versenyhivatal az elmúlt években kiemelten foglalkozik az ún. „zöld állításokkal”. A vállalkozásokat segítő tanácsait foglalta össze a </w:t>
      </w:r>
      <w:hyperlink r:id="rId7" w:history="1">
        <w:r w:rsidRPr="00A431F4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Zöld marketing útmutatójában</w:t>
        </w:r>
      </w:hyperlink>
      <w:r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, valamint a </w:t>
      </w:r>
      <w:hyperlink r:id="rId8" w:history="1">
        <w:r w:rsidRPr="00A431F4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GVH Podcast csatornáján</w:t>
        </w:r>
      </w:hyperlink>
      <w:r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is meghallgatható egy adás arról, hogy mire érdemes odafigyelniük a vállalkozásoknak fenntarthatósági</w:t>
      </w:r>
      <w:r w:rsidR="00FD56E1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és környezetvédelmi</w:t>
      </w:r>
      <w:r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szempont</w:t>
      </w:r>
      <w:r w:rsidR="00FD56E1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ok</w:t>
      </w:r>
      <w:r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ból. </w:t>
      </w:r>
    </w:p>
    <w:p w14:paraId="40EB9B5B" w14:textId="50F7BB8D" w:rsidR="00EE08F1" w:rsidRPr="00A431F4" w:rsidRDefault="00A431F4" w:rsidP="00A431F4">
      <w:pPr>
        <w:tabs>
          <w:tab w:val="left" w:pos="567"/>
        </w:tabs>
        <w:spacing w:after="80"/>
        <w:rPr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</w:pPr>
      <w:r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A GVH 2024 januárjában publikálta a </w:t>
      </w:r>
      <w:hyperlink r:id="rId9" w:history="1">
        <w:r w:rsidRPr="00A431F4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zöld állításokat vizsgáló piacelemzését</w:t>
        </w:r>
      </w:hyperlink>
      <w:r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, amely rávilágított többek között arra, hogy s</w:t>
      </w:r>
      <w:r w:rsidR="00EE08F1" w:rsidRPr="00EE08F1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ok esetben nem egyértelműek, </w:t>
      </w:r>
      <w:proofErr w:type="spellStart"/>
      <w:r w:rsidR="00EE08F1" w:rsidRPr="00EE08F1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zavarosak</w:t>
      </w:r>
      <w:proofErr w:type="spellEnd"/>
      <w:r w:rsidR="00EE08F1" w:rsidRPr="00EE08F1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a zöld reklámüzenetek, a fogyasztók jelentős része pedig nincs tisztában az egyes állítások és jelölések pontos tartalmával, illetve jelentésével.</w:t>
      </w:r>
      <w:r w:rsidR="000D02B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A versenyhivatal – a </w:t>
      </w:r>
      <w:r w:rsidR="000D02B9" w:rsidRPr="000D02B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piacelemzés megállapításai alapján </w:t>
      </w:r>
      <w:r w:rsidR="000D02B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– </w:t>
      </w:r>
      <w:r w:rsidR="000D02B9" w:rsidRPr="000D02B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számos javaslattal élt a piaci szereplők</w:t>
      </w:r>
      <w:r w:rsidR="000D02B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,</w:t>
      </w:r>
      <w:r w:rsidR="000D02B9" w:rsidRPr="000D02B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a jogalkotó és</w:t>
      </w:r>
      <w:r w:rsidR="000D02B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a jogalkalmazók</w:t>
      </w:r>
      <w:r w:rsidR="000D02B9" w:rsidRPr="000D02B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irányába</w:t>
      </w:r>
      <w:r w:rsidR="00F46BEA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,</w:t>
      </w:r>
      <w:r w:rsidR="000D02B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annak érdekében</w:t>
      </w:r>
      <w:r w:rsidR="00F46BEA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is</w:t>
      </w:r>
      <w:r w:rsidR="000D02B9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, hogy segítse </w:t>
      </w:r>
      <w:r w:rsidR="00F46BEA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a tisztességes zöld állítások piaci szereplők általi alkalmazását. </w:t>
      </w:r>
    </w:p>
    <w:p w14:paraId="7E898DAF" w14:textId="77777777" w:rsidR="0071620B" w:rsidRPr="006B4B0A" w:rsidRDefault="0071620B" w:rsidP="0071620B">
      <w:pPr>
        <w:tabs>
          <w:tab w:val="left" w:pos="567"/>
        </w:tabs>
        <w:spacing w:after="80"/>
        <w:rPr>
          <w:color w:val="000000" w:themeColor="text1"/>
          <w:shd w:val="clear" w:color="auto" w:fill="FFFFFF"/>
        </w:rPr>
      </w:pPr>
    </w:p>
    <w:p w14:paraId="5B4A79CC" w14:textId="4FF125EF" w:rsidR="00296DAA" w:rsidRPr="00296DAA" w:rsidRDefault="00361831" w:rsidP="00296DAA">
      <w:pPr>
        <w:rPr>
          <w:sz w:val="22"/>
          <w:szCs w:val="22"/>
        </w:rPr>
      </w:pPr>
      <w:r w:rsidRPr="002B7232">
        <w:t xml:space="preserve">Az ügy hivatali nyilvántartási száma: </w:t>
      </w:r>
      <w:bookmarkEnd w:id="1"/>
      <w:r w:rsidR="00296DAA" w:rsidRPr="00296DAA">
        <w:rPr>
          <w:b/>
          <w:bCs/>
        </w:rPr>
        <w:t>VJ/33/2024.</w:t>
      </w:r>
      <w:r w:rsidR="00296DAA" w:rsidRPr="00296DAA">
        <w:rPr>
          <w:b/>
          <w:bCs/>
          <w:sz w:val="22"/>
          <w:szCs w:val="22"/>
        </w:rPr>
        <w:t xml:space="preserve">, </w:t>
      </w:r>
      <w:r w:rsidR="00296DAA" w:rsidRPr="00296DAA">
        <w:rPr>
          <w:b/>
          <w:bCs/>
        </w:rPr>
        <w:t>VJ/34/2024.</w:t>
      </w:r>
      <w:r w:rsidR="00296DAA" w:rsidRPr="00296DAA">
        <w:rPr>
          <w:b/>
          <w:bCs/>
          <w:sz w:val="22"/>
          <w:szCs w:val="22"/>
        </w:rPr>
        <w:t xml:space="preserve">, </w:t>
      </w:r>
      <w:r w:rsidR="00296DAA" w:rsidRPr="00296DAA">
        <w:rPr>
          <w:b/>
          <w:bCs/>
        </w:rPr>
        <w:t>VJ/35/2024.</w:t>
      </w:r>
    </w:p>
    <w:p w14:paraId="10391E37" w14:textId="532F6452" w:rsidR="0094208B" w:rsidRPr="00C72051" w:rsidRDefault="0094208B" w:rsidP="0009552C">
      <w:pPr>
        <w:spacing w:after="80"/>
      </w:pPr>
    </w:p>
    <w:p w14:paraId="46B5F357" w14:textId="21D2DEC8" w:rsidR="00361831" w:rsidRPr="00A87089" w:rsidRDefault="00361831" w:rsidP="00A87089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76D261F2" w:rsidR="002A426E" w:rsidRDefault="00361831" w:rsidP="00781F02">
      <w:pPr>
        <w:spacing w:after="0"/>
      </w:pPr>
      <w:r>
        <w:t>Gondolovics Katalin, sajtószóvivő +36 30 603 1170</w:t>
      </w:r>
    </w:p>
    <w:sectPr w:rsidR="002A426E" w:rsidSect="00825424">
      <w:footerReference w:type="default" r:id="rId10"/>
      <w:headerReference w:type="first" r:id="rId11"/>
      <w:footerReference w:type="first" r:id="rId12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966D" w14:textId="77777777" w:rsidR="001431B4" w:rsidRDefault="001431B4">
      <w:pPr>
        <w:spacing w:after="0" w:line="240" w:lineRule="auto"/>
      </w:pPr>
      <w:r>
        <w:separator/>
      </w:r>
    </w:p>
  </w:endnote>
  <w:endnote w:type="continuationSeparator" w:id="0">
    <w:p w14:paraId="71BB2CF4" w14:textId="77777777" w:rsidR="001431B4" w:rsidRDefault="0014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274661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274661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644F" w14:textId="77777777" w:rsidR="001431B4" w:rsidRDefault="001431B4">
      <w:pPr>
        <w:spacing w:after="0" w:line="240" w:lineRule="auto"/>
      </w:pPr>
      <w:r>
        <w:separator/>
      </w:r>
    </w:p>
  </w:footnote>
  <w:footnote w:type="continuationSeparator" w:id="0">
    <w:p w14:paraId="6B88F9F4" w14:textId="77777777" w:rsidR="001431B4" w:rsidRDefault="0014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74661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9552C"/>
    <w:rsid w:val="000C16F7"/>
    <w:rsid w:val="000D02B9"/>
    <w:rsid w:val="001215EE"/>
    <w:rsid w:val="001407FC"/>
    <w:rsid w:val="001431B4"/>
    <w:rsid w:val="00167BF7"/>
    <w:rsid w:val="00202D48"/>
    <w:rsid w:val="00206DF4"/>
    <w:rsid w:val="002574F3"/>
    <w:rsid w:val="00274661"/>
    <w:rsid w:val="00296DAA"/>
    <w:rsid w:val="002A0E05"/>
    <w:rsid w:val="002A426E"/>
    <w:rsid w:val="002D7A9E"/>
    <w:rsid w:val="002E0749"/>
    <w:rsid w:val="00331DA9"/>
    <w:rsid w:val="00361831"/>
    <w:rsid w:val="003C51E4"/>
    <w:rsid w:val="003D38C6"/>
    <w:rsid w:val="003E675C"/>
    <w:rsid w:val="003F10DE"/>
    <w:rsid w:val="00424B8A"/>
    <w:rsid w:val="00430D05"/>
    <w:rsid w:val="004413B5"/>
    <w:rsid w:val="00463C33"/>
    <w:rsid w:val="00491BFC"/>
    <w:rsid w:val="004B3DBB"/>
    <w:rsid w:val="004C64BF"/>
    <w:rsid w:val="00545903"/>
    <w:rsid w:val="005566B7"/>
    <w:rsid w:val="005A384B"/>
    <w:rsid w:val="005A4856"/>
    <w:rsid w:val="005B31C0"/>
    <w:rsid w:val="005E13E7"/>
    <w:rsid w:val="005E7373"/>
    <w:rsid w:val="00617061"/>
    <w:rsid w:val="00626E97"/>
    <w:rsid w:val="006368CF"/>
    <w:rsid w:val="00662D35"/>
    <w:rsid w:val="006B4B0A"/>
    <w:rsid w:val="006B5E56"/>
    <w:rsid w:val="006F4B6A"/>
    <w:rsid w:val="0071620B"/>
    <w:rsid w:val="0072038E"/>
    <w:rsid w:val="00721117"/>
    <w:rsid w:val="00721F53"/>
    <w:rsid w:val="00736F52"/>
    <w:rsid w:val="0073744B"/>
    <w:rsid w:val="00781F02"/>
    <w:rsid w:val="007C02EC"/>
    <w:rsid w:val="007C6DFA"/>
    <w:rsid w:val="00811EE1"/>
    <w:rsid w:val="00825A2A"/>
    <w:rsid w:val="008302EE"/>
    <w:rsid w:val="00835934"/>
    <w:rsid w:val="008872CD"/>
    <w:rsid w:val="008927DB"/>
    <w:rsid w:val="008C44CC"/>
    <w:rsid w:val="00904062"/>
    <w:rsid w:val="00905BBD"/>
    <w:rsid w:val="00933AD1"/>
    <w:rsid w:val="0094208B"/>
    <w:rsid w:val="00956CBA"/>
    <w:rsid w:val="009C2511"/>
    <w:rsid w:val="009F6C0F"/>
    <w:rsid w:val="00A431F4"/>
    <w:rsid w:val="00A444F7"/>
    <w:rsid w:val="00A5193E"/>
    <w:rsid w:val="00A577FC"/>
    <w:rsid w:val="00A715B2"/>
    <w:rsid w:val="00A87089"/>
    <w:rsid w:val="00A87DC9"/>
    <w:rsid w:val="00A96E66"/>
    <w:rsid w:val="00B44630"/>
    <w:rsid w:val="00B6413F"/>
    <w:rsid w:val="00B85494"/>
    <w:rsid w:val="00BC4099"/>
    <w:rsid w:val="00C72051"/>
    <w:rsid w:val="00C87708"/>
    <w:rsid w:val="00CA2EBA"/>
    <w:rsid w:val="00CB142A"/>
    <w:rsid w:val="00CD63D8"/>
    <w:rsid w:val="00D00DA5"/>
    <w:rsid w:val="00D213C7"/>
    <w:rsid w:val="00D31443"/>
    <w:rsid w:val="00D800AE"/>
    <w:rsid w:val="00DB780D"/>
    <w:rsid w:val="00DF35CB"/>
    <w:rsid w:val="00E33ACD"/>
    <w:rsid w:val="00E45607"/>
    <w:rsid w:val="00E45E74"/>
    <w:rsid w:val="00E665BD"/>
    <w:rsid w:val="00EC4637"/>
    <w:rsid w:val="00EE08F1"/>
    <w:rsid w:val="00EE0B58"/>
    <w:rsid w:val="00F13997"/>
    <w:rsid w:val="00F22CD6"/>
    <w:rsid w:val="00F261FE"/>
    <w:rsid w:val="00F46BEA"/>
    <w:rsid w:val="00F67C62"/>
    <w:rsid w:val="00F96ED4"/>
    <w:rsid w:val="00FD56E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E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96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zold-allitasok-es-fenntarthatosag-a-gvh-legujabb-podcast-adasaba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h.hu/pfile/file?path=/szakmai_felhasznaloknak/tajekoztatok/szakmai_felhasznalok_tajekoztatok_zold-iranymutatas_201217&amp;inline=tru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24-es-sajtokozlemenyek/nem-minden-zold-amirol-azt-allitja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6</cp:revision>
  <dcterms:created xsi:type="dcterms:W3CDTF">2024-08-01T12:28:00Z</dcterms:created>
  <dcterms:modified xsi:type="dcterms:W3CDTF">2024-08-01T14:52:00Z</dcterms:modified>
</cp:coreProperties>
</file>