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96A6" w14:textId="28CFC6B5" w:rsidR="003522FF" w:rsidRPr="003522FF" w:rsidRDefault="003522FF" w:rsidP="003522FF">
      <w:pPr>
        <w:spacing w:after="120"/>
        <w:rPr>
          <w:b/>
          <w:bCs/>
          <w:sz w:val="28"/>
          <w:szCs w:val="28"/>
        </w:rPr>
      </w:pPr>
      <w:r w:rsidRPr="003522FF">
        <w:rPr>
          <w:b/>
          <w:bCs/>
          <w:sz w:val="28"/>
          <w:szCs w:val="28"/>
        </w:rPr>
        <w:t>Fókuszban a megelőzés vagy az előzetes megfelelés! Megerősítette együttműködését a GVH és az Önszabályozó Reklám Testület</w:t>
      </w:r>
    </w:p>
    <w:p w14:paraId="3FFE4526" w14:textId="4606CC2B" w:rsidR="003522FF" w:rsidRPr="003522FF" w:rsidRDefault="003522FF" w:rsidP="003522FF">
      <w:pPr>
        <w:spacing w:after="120"/>
        <w:rPr>
          <w:b/>
          <w:bCs/>
        </w:rPr>
      </w:pPr>
      <w:r w:rsidRPr="003522FF">
        <w:rPr>
          <w:b/>
          <w:bCs/>
        </w:rPr>
        <w:t xml:space="preserve">Budapest, 2024. július 29. – A tisztességtelen kereskedelmi gyakorlatok elkerülése, az előzetes megfelelés eszközrendszerének minél szélesebb körben történő megismerése és alkalmazása érdekében írt alá együttműködési megállapodást a Gazdasági Versenyhivatal (GVH) és az Önszabályozó Reklám Testület (ÖRT). A két szervezet vezetői egyetértettek abban, hogy a jogkövetésre törekvő vállalkozások aktív támogatása, </w:t>
      </w:r>
      <w:proofErr w:type="spellStart"/>
      <w:r w:rsidRPr="003522FF">
        <w:rPr>
          <w:b/>
          <w:bCs/>
        </w:rPr>
        <w:t>edukálása</w:t>
      </w:r>
      <w:proofErr w:type="spellEnd"/>
      <w:r w:rsidRPr="003522FF">
        <w:rPr>
          <w:b/>
          <w:bCs/>
        </w:rPr>
        <w:t xml:space="preserve"> kulcsfontosságú a jogsértések megelőzésében.</w:t>
      </w:r>
    </w:p>
    <w:p w14:paraId="25DF632F" w14:textId="00EBFFD8" w:rsidR="003522FF" w:rsidRDefault="00000000" w:rsidP="003522FF">
      <w:pPr>
        <w:spacing w:after="120"/>
      </w:pPr>
      <w:hyperlink r:id="rId8" w:history="1">
        <w:r w:rsidR="003522FF" w:rsidRPr="003522FF">
          <w:rPr>
            <w:rStyle w:val="Hiperhivatkozs"/>
          </w:rPr>
          <w:t>2013-ban írt alá együttműködési megállapodást</w:t>
        </w:r>
      </w:hyperlink>
      <w:r w:rsidR="003522FF">
        <w:t xml:space="preserve"> a Gazdasági Versenyhivatal Versenykutúra Központja és az Önszabályozó Reklám Testület. A 2024. július 29-én, a GVH </w:t>
      </w:r>
      <w:r w:rsidR="0043676D">
        <w:t xml:space="preserve">székhelyén </w:t>
      </w:r>
      <w:r w:rsidR="003522FF">
        <w:t>aláírt új megállapodás ezt a korábbi dokumentumot váltja fel.</w:t>
      </w:r>
    </w:p>
    <w:p w14:paraId="6514B2DC" w14:textId="03F8373D" w:rsidR="003522FF" w:rsidRDefault="003522FF" w:rsidP="003522FF">
      <w:pPr>
        <w:spacing w:after="120"/>
      </w:pPr>
      <w:r>
        <w:t xml:space="preserve">A </w:t>
      </w:r>
      <w:r w:rsidRPr="003522FF">
        <w:rPr>
          <w:b/>
          <w:bCs/>
        </w:rPr>
        <w:t>Gazdasági Versenyhivatal</w:t>
      </w:r>
      <w:r>
        <w:t xml:space="preserve"> küldetése a tiszta piaci verseny és a fogyasztók jogainak védelme. A nemzeti versenyhatóság a verseny védelme érdekében folytatott tevékenysége alapvetően három pillérre épül: versenyfelügyeleti munkája során érvényesíti a magyar versenytörvény és az uniós versenyjog szabályait, versenypártolás keretében a rendelkezésére álló eszközökkel igyekszik a verseny érdekében befolyásolni az állami döntéseket, illetve a verseny társadalmi elfogadottsága érdekében a versenypolitikai ismeretek terjesztésével, valamint a verseny közgazdasági és jogi kérdéseivel foglalkozó szakmai közélet fejlesztésével hozzájárul a versenykultúra fejlesztéséhez.</w:t>
      </w:r>
    </w:p>
    <w:p w14:paraId="3B3C70FA" w14:textId="646BD75B" w:rsidR="003522FF" w:rsidRDefault="003522FF" w:rsidP="003522FF">
      <w:pPr>
        <w:spacing w:after="120"/>
      </w:pPr>
      <w:r>
        <w:t xml:space="preserve">Az </w:t>
      </w:r>
      <w:r w:rsidRPr="003522FF">
        <w:rPr>
          <w:b/>
          <w:bCs/>
        </w:rPr>
        <w:t>Önszabályozó Reklám Testület</w:t>
      </w:r>
      <w:r>
        <w:t xml:space="preserve"> legfőbb küldetése, hogy az önszabályozás keretrendszerének működtetésével – elsősorban előzetes normakontroll, panaszkezelés, monitoring feladatok és az edukáció eszközeivel – elősegítse a magyarországi helyes reklámgyakorlat minél szélesebb körben történő betartatását, az etikai normák megismerését és az önszabályozási gyakorlatának működtetésével a gazdálkodó szervezetek tisztességes reklámgyakorlatának támogatását. </w:t>
      </w:r>
    </w:p>
    <w:p w14:paraId="24DBABCB" w14:textId="5FC163CD" w:rsidR="003522FF" w:rsidRDefault="003522FF" w:rsidP="003522FF">
      <w:pPr>
        <w:spacing w:after="120"/>
      </w:pPr>
      <w:r>
        <w:t xml:space="preserve">A megállapodás alapján a </w:t>
      </w:r>
      <w:r w:rsidRPr="003522FF">
        <w:rPr>
          <w:b/>
          <w:bCs/>
        </w:rPr>
        <w:t>GVH és az ÖRT</w:t>
      </w:r>
      <w:r>
        <w:t xml:space="preserve"> a közös célkitűzéseik megvalósítása érdekében, a szakmai munka eredményeinek bemutatása mellett, a kiemelt, reklámozási gyakorlatot érintő szabályozási és társadalmi témákról egyeztet, közös fórumokat tart, illetve közös szakmai konzultációkat szervez ezzel is segítve reklám készítésében és közzétételében résztvevő szakemberek munkáját. Közös cél a megtévesztő kereskedelmi gyakorlatok </w:t>
      </w:r>
      <w:r w:rsidR="0043676D">
        <w:t>visszaszorítása</w:t>
      </w:r>
      <w:r>
        <w:t xml:space="preserve">, </w:t>
      </w:r>
      <w:r w:rsidR="0043676D">
        <w:t xml:space="preserve">a valós és igazolható reklámállítások elősegítése. </w:t>
      </w:r>
    </w:p>
    <w:p w14:paraId="165EFC5C" w14:textId="736C40DE" w:rsidR="003522FF" w:rsidRDefault="003522FF" w:rsidP="003522FF">
      <w:pPr>
        <w:spacing w:after="120"/>
      </w:pPr>
      <w:r w:rsidRPr="003522FF">
        <w:rPr>
          <w:i/>
          <w:iCs/>
        </w:rPr>
        <w:t xml:space="preserve">„A GVH nagy hangsúlyt helyez a tisztességtelen kereskedelmi gyakorlatok felszámolására, a fogyasztók aktív védelmére. Ennek megfelelően nem csak vizsgálatokat folytat és szigorúan eljár a tilosban járókkal szemben, hanem az előzetes megfelelés – a helyes kereskedelmi gyakorlatok elsajátítása – érdekében számos edukációs </w:t>
      </w:r>
      <w:r w:rsidR="0043676D">
        <w:rPr>
          <w:i/>
          <w:iCs/>
        </w:rPr>
        <w:t>ismeretterjesztő anyagot tesz közzé</w:t>
      </w:r>
      <w:r w:rsidRPr="003522FF">
        <w:rPr>
          <w:i/>
          <w:iCs/>
        </w:rPr>
        <w:t>. A megelőzést segítő küldetésünk egyik fontos eleme az olyan szakmai szervezetekkel történő együttműködés, mint az ÖRT, amely meghatározó</w:t>
      </w:r>
      <w:r w:rsidR="0043676D">
        <w:rPr>
          <w:i/>
          <w:iCs/>
        </w:rPr>
        <w:t xml:space="preserve"> szerepet</w:t>
      </w:r>
      <w:r w:rsidRPr="003522FF">
        <w:rPr>
          <w:i/>
          <w:iCs/>
        </w:rPr>
        <w:t xml:space="preserve"> játszik a reklám-kommunikációs szakma edukációjában.”</w:t>
      </w:r>
      <w:r>
        <w:t xml:space="preserve"> – emelte ki </w:t>
      </w:r>
      <w:r w:rsidRPr="003522FF">
        <w:rPr>
          <w:b/>
          <w:bCs/>
        </w:rPr>
        <w:t>Rigó Csaba Balázs</w:t>
      </w:r>
      <w:r>
        <w:t xml:space="preserve">, a GVH elnöke. </w:t>
      </w:r>
    </w:p>
    <w:p w14:paraId="192C1654" w14:textId="5D9A444E" w:rsidR="003522FF" w:rsidRDefault="003522FF" w:rsidP="003522FF">
      <w:pPr>
        <w:spacing w:after="120"/>
      </w:pPr>
      <w:r w:rsidRPr="003522FF">
        <w:rPr>
          <w:i/>
          <w:iCs/>
        </w:rPr>
        <w:t>„A GVH versenyjogi megfelelés iránti céljaival teljes mértékben egyetértünk. A reklám a verseny egyik fontos eszköze, így meggyőződésünk, hogy annak tisztasága feletti őrködésünk a verseny tisztaságához is hozzájárul. A jogszerű és etikus reklámozás a reklám és a márkák iránti bizalom fenntartása révén a fogyasztónak, a reklámozónak, így a gazdaságnak és a társadalomnak is hasznára válik</w:t>
      </w:r>
      <w:r w:rsidR="00E3089B">
        <w:rPr>
          <w:i/>
          <w:iCs/>
        </w:rPr>
        <w:t xml:space="preserve">. Közös célunk, hogy a lehető legszélesebb körben </w:t>
      </w:r>
      <w:r w:rsidR="00E3089B" w:rsidRPr="00E3089B">
        <w:rPr>
          <w:i/>
          <w:iCs/>
        </w:rPr>
        <w:t>megvalósuljon az ÖRT hitvallásában is megfogalmazott “Reklám. Tisztán” gondolat.</w:t>
      </w:r>
      <w:r w:rsidRPr="003522FF">
        <w:rPr>
          <w:i/>
          <w:iCs/>
        </w:rPr>
        <w:t xml:space="preserve">” </w:t>
      </w:r>
      <w:r>
        <w:t xml:space="preserve">– hangsúlyozta </w:t>
      </w:r>
      <w:r w:rsidRPr="003522FF">
        <w:rPr>
          <w:b/>
          <w:bCs/>
        </w:rPr>
        <w:t>dr. Molnár Kálmán</w:t>
      </w:r>
      <w:r>
        <w:t xml:space="preserve">, az ÖRT elnöke.  </w:t>
      </w:r>
    </w:p>
    <w:p w14:paraId="43E9B673" w14:textId="4B6160B8" w:rsidR="003522FF" w:rsidRDefault="003522FF" w:rsidP="003522FF">
      <w:pPr>
        <w:spacing w:after="120"/>
      </w:pPr>
      <w:r w:rsidRPr="003522FF">
        <w:rPr>
          <w:i/>
          <w:iCs/>
        </w:rPr>
        <w:lastRenderedPageBreak/>
        <w:t>„Az ÖRT számára kiemelt feladat a tagság edukációja.  Számos kiváló prezentáció, tartalmas panelbeszélgetés, kiemelt érdeklődés mellett megtartott workshop és a hatóság iránymutatását figyelembe vevő ÖRT útmutató, mind-mind az együttműködés eredményességét és szükségét bizonyítja, melynek folytatását erősíti meg ez a megállapodás”</w:t>
      </w:r>
      <w:r>
        <w:t xml:space="preserve"> – tette hozzá </w:t>
      </w:r>
      <w:r w:rsidRPr="003522FF">
        <w:rPr>
          <w:b/>
          <w:bCs/>
        </w:rPr>
        <w:t>Gerendi Zsolt</w:t>
      </w:r>
      <w:r>
        <w:t xml:space="preserve"> főtitkár.</w:t>
      </w:r>
    </w:p>
    <w:p w14:paraId="2115F24C" w14:textId="77777777" w:rsidR="003522FF" w:rsidRDefault="003522FF" w:rsidP="003522FF">
      <w:pPr>
        <w:spacing w:after="120"/>
      </w:pPr>
    </w:p>
    <w:p w14:paraId="46B5F357" w14:textId="4FA5A774" w:rsidR="00361831" w:rsidRPr="006256C4" w:rsidRDefault="00361831" w:rsidP="003522FF">
      <w:pPr>
        <w:spacing w:after="12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522FF">
      <w:pPr>
        <w:spacing w:after="120"/>
      </w:pPr>
      <w:r>
        <w:t>További információ:</w:t>
      </w:r>
    </w:p>
    <w:p w14:paraId="707774B9" w14:textId="77777777" w:rsidR="00361831" w:rsidRDefault="00361831" w:rsidP="003522FF">
      <w:pPr>
        <w:spacing w:after="120"/>
      </w:pPr>
      <w:r>
        <w:t>Horváth Bálint, kommunikációs vezető +36 20 238 6939</w:t>
      </w:r>
    </w:p>
    <w:p w14:paraId="4198A9CE" w14:textId="4128BFE7" w:rsidR="002A426E" w:rsidRDefault="00361831" w:rsidP="003522FF">
      <w:pPr>
        <w:spacing w:after="120"/>
      </w:pPr>
      <w:r>
        <w:t>Gondolovics Katalin, sajtószóvivő +36 30 603 1170</w:t>
      </w:r>
    </w:p>
    <w:sectPr w:rsidR="002A426E" w:rsidSect="007863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454" w:bottom="454" w:left="454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24EF" w14:textId="77777777" w:rsidR="00171D24" w:rsidRDefault="00171D24">
      <w:pPr>
        <w:spacing w:after="0" w:line="240" w:lineRule="auto"/>
      </w:pPr>
      <w:r>
        <w:separator/>
      </w:r>
    </w:p>
  </w:endnote>
  <w:endnote w:type="continuationSeparator" w:id="0">
    <w:p w14:paraId="21CDB4DE" w14:textId="77777777" w:rsidR="00171D24" w:rsidRDefault="0017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961C" w14:textId="77777777" w:rsidR="003522FF" w:rsidRDefault="003522F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E9DF" w14:textId="77777777" w:rsidR="00171D24" w:rsidRDefault="00171D24">
      <w:pPr>
        <w:spacing w:after="0" w:line="240" w:lineRule="auto"/>
      </w:pPr>
      <w:r>
        <w:separator/>
      </w:r>
    </w:p>
  </w:footnote>
  <w:footnote w:type="continuationSeparator" w:id="0">
    <w:p w14:paraId="0358F122" w14:textId="77777777" w:rsidR="00171D24" w:rsidRDefault="0017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D66C" w14:textId="77777777" w:rsidR="003522FF" w:rsidRDefault="003522F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27E15361" w:rsidR="00B3311F" w:rsidRDefault="003522FF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 w:rsidRPr="003522FF">
      <w:rPr>
        <w:noProof/>
      </w:rPr>
      <w:drawing>
        <wp:anchor distT="0" distB="0" distL="114300" distR="114300" simplePos="0" relativeHeight="251658240" behindDoc="0" locked="0" layoutInCell="1" allowOverlap="1" wp14:anchorId="239A7142" wp14:editId="61BF0730">
          <wp:simplePos x="0" y="0"/>
          <wp:positionH relativeFrom="margin">
            <wp:align>right</wp:align>
          </wp:positionH>
          <wp:positionV relativeFrom="paragraph">
            <wp:posOffset>65405</wp:posOffset>
          </wp:positionV>
          <wp:extent cx="1814400" cy="630000"/>
          <wp:effectExtent l="0" t="0" r="0" b="0"/>
          <wp:wrapThrough wrapText="bothSides">
            <wp:wrapPolygon edited="0">
              <wp:start x="0" y="0"/>
              <wp:lineTo x="0" y="20903"/>
              <wp:lineTo x="21320" y="20903"/>
              <wp:lineTo x="21320" y="0"/>
              <wp:lineTo x="0" y="0"/>
            </wp:wrapPolygon>
          </wp:wrapThrough>
          <wp:docPr id="1" name="Kép 1" descr="A képen szöveg, Betűtípus, Grafika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Grafika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F52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3522F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A37"/>
    <w:multiLevelType w:val="hybridMultilevel"/>
    <w:tmpl w:val="DBFE5F58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132D4928"/>
    <w:multiLevelType w:val="hybridMultilevel"/>
    <w:tmpl w:val="91E6C61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1A950340"/>
    <w:multiLevelType w:val="hybridMultilevel"/>
    <w:tmpl w:val="A0EE331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233E2E96"/>
    <w:multiLevelType w:val="hybridMultilevel"/>
    <w:tmpl w:val="E89A159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613C0873"/>
    <w:multiLevelType w:val="hybridMultilevel"/>
    <w:tmpl w:val="21EA96E6"/>
    <w:lvl w:ilvl="0" w:tplc="040E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6"/>
  </w:num>
  <w:num w:numId="2" w16cid:durableId="1174959768">
    <w:abstractNumId w:val="7"/>
  </w:num>
  <w:num w:numId="3" w16cid:durableId="885722583">
    <w:abstractNumId w:val="3"/>
  </w:num>
  <w:num w:numId="4" w16cid:durableId="1534154444">
    <w:abstractNumId w:val="4"/>
  </w:num>
  <w:num w:numId="5" w16cid:durableId="252320509">
    <w:abstractNumId w:val="1"/>
  </w:num>
  <w:num w:numId="6" w16cid:durableId="804277092">
    <w:abstractNumId w:val="0"/>
  </w:num>
  <w:num w:numId="7" w16cid:durableId="1943995383">
    <w:abstractNumId w:val="5"/>
  </w:num>
  <w:num w:numId="8" w16cid:durableId="1355425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64D"/>
    <w:rsid w:val="00011AF6"/>
    <w:rsid w:val="00012114"/>
    <w:rsid w:val="000317E7"/>
    <w:rsid w:val="000502B4"/>
    <w:rsid w:val="00055453"/>
    <w:rsid w:val="00057D8B"/>
    <w:rsid w:val="00060528"/>
    <w:rsid w:val="0006093C"/>
    <w:rsid w:val="0007220F"/>
    <w:rsid w:val="00092905"/>
    <w:rsid w:val="000C7EC0"/>
    <w:rsid w:val="000D0161"/>
    <w:rsid w:val="000E7621"/>
    <w:rsid w:val="000F61B5"/>
    <w:rsid w:val="00171D24"/>
    <w:rsid w:val="001C17BE"/>
    <w:rsid w:val="001C6F96"/>
    <w:rsid w:val="001D2926"/>
    <w:rsid w:val="001D561A"/>
    <w:rsid w:val="001E227E"/>
    <w:rsid w:val="00202D48"/>
    <w:rsid w:val="00204097"/>
    <w:rsid w:val="00205D7C"/>
    <w:rsid w:val="00206DF4"/>
    <w:rsid w:val="002300B2"/>
    <w:rsid w:val="00230286"/>
    <w:rsid w:val="00233F23"/>
    <w:rsid w:val="002574F3"/>
    <w:rsid w:val="002734A3"/>
    <w:rsid w:val="00293E97"/>
    <w:rsid w:val="002A0E05"/>
    <w:rsid w:val="002A426E"/>
    <w:rsid w:val="002B5D44"/>
    <w:rsid w:val="002B7F2B"/>
    <w:rsid w:val="002C122C"/>
    <w:rsid w:val="003522FF"/>
    <w:rsid w:val="00361831"/>
    <w:rsid w:val="00382160"/>
    <w:rsid w:val="003B790B"/>
    <w:rsid w:val="003C30B9"/>
    <w:rsid w:val="003C51E4"/>
    <w:rsid w:val="003E0148"/>
    <w:rsid w:val="003E675C"/>
    <w:rsid w:val="00401C7C"/>
    <w:rsid w:val="00424B8A"/>
    <w:rsid w:val="00430D05"/>
    <w:rsid w:val="0043676D"/>
    <w:rsid w:val="00454D0A"/>
    <w:rsid w:val="004573FA"/>
    <w:rsid w:val="00485F3F"/>
    <w:rsid w:val="00491BFC"/>
    <w:rsid w:val="004947DF"/>
    <w:rsid w:val="0049629F"/>
    <w:rsid w:val="00497F9C"/>
    <w:rsid w:val="004B1EC2"/>
    <w:rsid w:val="004C0406"/>
    <w:rsid w:val="004C2DF9"/>
    <w:rsid w:val="004E3890"/>
    <w:rsid w:val="005325C5"/>
    <w:rsid w:val="00545903"/>
    <w:rsid w:val="005566B7"/>
    <w:rsid w:val="00574344"/>
    <w:rsid w:val="005A068C"/>
    <w:rsid w:val="005A20C2"/>
    <w:rsid w:val="005A384B"/>
    <w:rsid w:val="005A4856"/>
    <w:rsid w:val="005B31C0"/>
    <w:rsid w:val="005E13E7"/>
    <w:rsid w:val="005E7373"/>
    <w:rsid w:val="006037EF"/>
    <w:rsid w:val="006256C4"/>
    <w:rsid w:val="00626E97"/>
    <w:rsid w:val="006321C6"/>
    <w:rsid w:val="0063452B"/>
    <w:rsid w:val="006367A9"/>
    <w:rsid w:val="00660401"/>
    <w:rsid w:val="00694570"/>
    <w:rsid w:val="006D0F58"/>
    <w:rsid w:val="006D69E6"/>
    <w:rsid w:val="006D7040"/>
    <w:rsid w:val="007211D2"/>
    <w:rsid w:val="007232F7"/>
    <w:rsid w:val="00736F52"/>
    <w:rsid w:val="007527B7"/>
    <w:rsid w:val="0077091C"/>
    <w:rsid w:val="00781D29"/>
    <w:rsid w:val="007863D5"/>
    <w:rsid w:val="007A43A4"/>
    <w:rsid w:val="007B0524"/>
    <w:rsid w:val="007C3D7E"/>
    <w:rsid w:val="007C7270"/>
    <w:rsid w:val="007E33B9"/>
    <w:rsid w:val="007F6DDC"/>
    <w:rsid w:val="00821F1C"/>
    <w:rsid w:val="0082317E"/>
    <w:rsid w:val="008302EE"/>
    <w:rsid w:val="008326CC"/>
    <w:rsid w:val="00835934"/>
    <w:rsid w:val="00847363"/>
    <w:rsid w:val="0085735F"/>
    <w:rsid w:val="00861DEF"/>
    <w:rsid w:val="00874C88"/>
    <w:rsid w:val="008857DA"/>
    <w:rsid w:val="00886B5A"/>
    <w:rsid w:val="00890898"/>
    <w:rsid w:val="008927DB"/>
    <w:rsid w:val="008A3CE3"/>
    <w:rsid w:val="008A4731"/>
    <w:rsid w:val="008B3221"/>
    <w:rsid w:val="008C44CC"/>
    <w:rsid w:val="008E272C"/>
    <w:rsid w:val="008E6D22"/>
    <w:rsid w:val="00903E31"/>
    <w:rsid w:val="00904062"/>
    <w:rsid w:val="00905BBD"/>
    <w:rsid w:val="00916F81"/>
    <w:rsid w:val="0092208D"/>
    <w:rsid w:val="009279E6"/>
    <w:rsid w:val="00927A0A"/>
    <w:rsid w:val="00933AD1"/>
    <w:rsid w:val="00972CA9"/>
    <w:rsid w:val="0097359E"/>
    <w:rsid w:val="00981225"/>
    <w:rsid w:val="00990119"/>
    <w:rsid w:val="009B4092"/>
    <w:rsid w:val="009D3093"/>
    <w:rsid w:val="009E39CF"/>
    <w:rsid w:val="00A14019"/>
    <w:rsid w:val="00A610DF"/>
    <w:rsid w:val="00A671EC"/>
    <w:rsid w:val="00A715B2"/>
    <w:rsid w:val="00A72DE1"/>
    <w:rsid w:val="00A814BE"/>
    <w:rsid w:val="00A96E66"/>
    <w:rsid w:val="00AA6196"/>
    <w:rsid w:val="00AB5D6E"/>
    <w:rsid w:val="00AE0269"/>
    <w:rsid w:val="00AF45D3"/>
    <w:rsid w:val="00B02F46"/>
    <w:rsid w:val="00B056E2"/>
    <w:rsid w:val="00B0747E"/>
    <w:rsid w:val="00B17188"/>
    <w:rsid w:val="00B3311F"/>
    <w:rsid w:val="00B37D89"/>
    <w:rsid w:val="00B6413F"/>
    <w:rsid w:val="00B70E7E"/>
    <w:rsid w:val="00BB087E"/>
    <w:rsid w:val="00BB1B6F"/>
    <w:rsid w:val="00BC5B6D"/>
    <w:rsid w:val="00BF2A27"/>
    <w:rsid w:val="00C64636"/>
    <w:rsid w:val="00C7242D"/>
    <w:rsid w:val="00C72959"/>
    <w:rsid w:val="00C87708"/>
    <w:rsid w:val="00CA2EBA"/>
    <w:rsid w:val="00CA4424"/>
    <w:rsid w:val="00CD63D8"/>
    <w:rsid w:val="00CE27A3"/>
    <w:rsid w:val="00D31443"/>
    <w:rsid w:val="00D315E9"/>
    <w:rsid w:val="00D94B4A"/>
    <w:rsid w:val="00DC6E83"/>
    <w:rsid w:val="00DC752D"/>
    <w:rsid w:val="00E044AF"/>
    <w:rsid w:val="00E3089B"/>
    <w:rsid w:val="00E36C1B"/>
    <w:rsid w:val="00E45607"/>
    <w:rsid w:val="00E665BD"/>
    <w:rsid w:val="00E87D38"/>
    <w:rsid w:val="00EA233F"/>
    <w:rsid w:val="00EA31B0"/>
    <w:rsid w:val="00EA7FA0"/>
    <w:rsid w:val="00EC180F"/>
    <w:rsid w:val="00EC4637"/>
    <w:rsid w:val="00ED6F9F"/>
    <w:rsid w:val="00F0164C"/>
    <w:rsid w:val="00F13997"/>
    <w:rsid w:val="00F155F8"/>
    <w:rsid w:val="00F22CD6"/>
    <w:rsid w:val="00F4323C"/>
    <w:rsid w:val="00F447C8"/>
    <w:rsid w:val="00F8356C"/>
    <w:rsid w:val="00FC5159"/>
    <w:rsid w:val="00FD1928"/>
    <w:rsid w:val="00FD31ED"/>
    <w:rsid w:val="00FE2A54"/>
    <w:rsid w:val="00FE5D23"/>
    <w:rsid w:val="00FF0DCC"/>
    <w:rsid w:val="00FF3D0B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5735F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60401"/>
    <w:pPr>
      <w:ind w:left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040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660401"/>
    <w:rPr>
      <w:rFonts w:ascii="Arial" w:hAnsi="Arial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pfile/file?path=/gvh/versenykultura_fejlesztes/szakmai_egyuttmukodesek/Egyuttmukodesi_megallapodas_GVH_ORT_megfelelesi_kampany_2013_04_25.pdf&amp;inline=tr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2</cp:revision>
  <dcterms:created xsi:type="dcterms:W3CDTF">2024-07-28T17:51:00Z</dcterms:created>
  <dcterms:modified xsi:type="dcterms:W3CDTF">2024-07-28T17:51:00Z</dcterms:modified>
</cp:coreProperties>
</file>