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50F0C" w14:textId="487E98C5" w:rsidR="006F70D4" w:rsidRDefault="00785C74" w:rsidP="00352001">
      <w:pPr>
        <w:spacing w:after="120" w:line="264" w:lineRule="auto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Fény derült az online lámpakereskedő jogsértésére</w:t>
      </w:r>
    </w:p>
    <w:p w14:paraId="0FAAE643" w14:textId="583E7480" w:rsidR="00785C74" w:rsidRDefault="00785C74" w:rsidP="00A77466">
      <w:pPr>
        <w:spacing w:after="120" w:line="264" w:lineRule="auto"/>
        <w:rPr>
          <w:rFonts w:eastAsiaTheme="minorHAnsi"/>
          <w:b/>
          <w:bCs/>
          <w:i/>
          <w:iCs/>
          <w:lang w:eastAsia="en-US"/>
        </w:rPr>
      </w:pPr>
      <w:r>
        <w:rPr>
          <w:rFonts w:eastAsiaTheme="minorHAnsi"/>
          <w:b/>
          <w:bCs/>
          <w:i/>
          <w:iCs/>
          <w:lang w:eastAsia="en-US"/>
        </w:rPr>
        <w:t>126 millió forint bírságot szabott ki a GVH</w:t>
      </w:r>
      <w:r w:rsidR="00036161">
        <w:rPr>
          <w:rFonts w:eastAsiaTheme="minorHAnsi"/>
          <w:b/>
          <w:bCs/>
          <w:i/>
          <w:iCs/>
          <w:lang w:eastAsia="en-US"/>
        </w:rPr>
        <w:t xml:space="preserve"> a cseh vállalkozásra</w:t>
      </w:r>
    </w:p>
    <w:p w14:paraId="63162723" w14:textId="40E89C0B" w:rsidR="006F70D4" w:rsidRPr="006F70D4" w:rsidRDefault="00A77466" w:rsidP="00036161">
      <w:pPr>
        <w:spacing w:after="120" w:line="264" w:lineRule="auto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Budapest, 2024. </w:t>
      </w:r>
      <w:r w:rsidR="00E3581E">
        <w:rPr>
          <w:rFonts w:eastAsiaTheme="minorHAnsi"/>
          <w:b/>
          <w:bCs/>
          <w:lang w:eastAsia="en-US"/>
        </w:rPr>
        <w:t>máju</w:t>
      </w:r>
      <w:r w:rsidR="00C467E5">
        <w:rPr>
          <w:rFonts w:eastAsiaTheme="minorHAnsi"/>
          <w:b/>
          <w:bCs/>
          <w:lang w:eastAsia="en-US"/>
        </w:rPr>
        <w:t xml:space="preserve">s </w:t>
      </w:r>
      <w:r w:rsidR="00785C74">
        <w:rPr>
          <w:rFonts w:eastAsiaTheme="minorHAnsi"/>
          <w:b/>
          <w:bCs/>
          <w:lang w:eastAsia="en-US"/>
        </w:rPr>
        <w:t>3</w:t>
      </w:r>
      <w:r w:rsidR="008D2195">
        <w:rPr>
          <w:rFonts w:eastAsiaTheme="minorHAnsi"/>
          <w:b/>
          <w:bCs/>
          <w:lang w:eastAsia="en-US"/>
        </w:rPr>
        <w:t>1</w:t>
      </w:r>
      <w:r>
        <w:rPr>
          <w:rFonts w:eastAsiaTheme="minorHAnsi"/>
          <w:b/>
          <w:bCs/>
          <w:lang w:eastAsia="en-US"/>
        </w:rPr>
        <w:t xml:space="preserve">. – </w:t>
      </w:r>
      <w:r w:rsidR="00785C74">
        <w:rPr>
          <w:rFonts w:eastAsiaTheme="minorHAnsi"/>
          <w:b/>
          <w:bCs/>
          <w:lang w:eastAsia="en-US"/>
        </w:rPr>
        <w:t xml:space="preserve">A </w:t>
      </w:r>
      <w:r w:rsidR="00E44D7A">
        <w:rPr>
          <w:rFonts w:eastAsiaTheme="minorHAnsi"/>
          <w:b/>
          <w:bCs/>
          <w:lang w:eastAsia="en-US"/>
        </w:rPr>
        <w:t>Gazdasági</w:t>
      </w:r>
      <w:r w:rsidR="00785C74">
        <w:rPr>
          <w:rFonts w:eastAsiaTheme="minorHAnsi"/>
          <w:b/>
          <w:bCs/>
          <w:lang w:eastAsia="en-US"/>
        </w:rPr>
        <w:t xml:space="preserve"> Versenyhivatal (GVH) lezárta versenyfelügyeleti eljárását </w:t>
      </w:r>
      <w:r w:rsidR="009C55FA">
        <w:rPr>
          <w:rFonts w:eastAsiaTheme="minorHAnsi"/>
          <w:b/>
          <w:bCs/>
          <w:lang w:eastAsia="en-US"/>
        </w:rPr>
        <w:t>a hazai fogyasztók körében népszerű</w:t>
      </w:r>
      <w:r w:rsidR="00785C74">
        <w:rPr>
          <w:rFonts w:eastAsiaTheme="minorHAnsi"/>
          <w:b/>
          <w:bCs/>
          <w:lang w:eastAsia="en-US"/>
        </w:rPr>
        <w:t xml:space="preserve"> </w:t>
      </w:r>
      <w:r w:rsidR="00AD398F">
        <w:rPr>
          <w:rFonts w:eastAsiaTheme="minorHAnsi"/>
          <w:b/>
          <w:bCs/>
          <w:lang w:eastAsia="en-US"/>
        </w:rPr>
        <w:t xml:space="preserve">világítástechnikai webáruház, a </w:t>
      </w:r>
      <w:r w:rsidR="00A8614C">
        <w:rPr>
          <w:rFonts w:eastAsiaTheme="minorHAnsi"/>
          <w:b/>
          <w:bCs/>
          <w:lang w:eastAsia="en-US"/>
        </w:rPr>
        <w:t>l</w:t>
      </w:r>
      <w:r w:rsidR="00375DD5">
        <w:rPr>
          <w:rFonts w:eastAsiaTheme="minorHAnsi"/>
          <w:b/>
          <w:bCs/>
          <w:lang w:eastAsia="en-US"/>
        </w:rPr>
        <w:t>a</w:t>
      </w:r>
      <w:r w:rsidR="00AD398F">
        <w:rPr>
          <w:rFonts w:eastAsiaTheme="minorHAnsi"/>
          <w:b/>
          <w:bCs/>
          <w:lang w:eastAsia="en-US"/>
        </w:rPr>
        <w:t>mp</w:t>
      </w:r>
      <w:r w:rsidR="00375DD5">
        <w:rPr>
          <w:rFonts w:eastAsiaTheme="minorHAnsi"/>
          <w:b/>
          <w:bCs/>
          <w:lang w:eastAsia="en-US"/>
        </w:rPr>
        <w:t>a</w:t>
      </w:r>
      <w:r w:rsidR="00AD398F">
        <w:rPr>
          <w:rFonts w:eastAsiaTheme="minorHAnsi"/>
          <w:b/>
          <w:bCs/>
          <w:lang w:eastAsia="en-US"/>
        </w:rPr>
        <w:t>k.hu üzemeltetőjével szemben. A</w:t>
      </w:r>
      <w:r w:rsidR="00036161">
        <w:rPr>
          <w:rFonts w:eastAsiaTheme="minorHAnsi"/>
          <w:b/>
          <w:bCs/>
          <w:lang w:eastAsia="en-US"/>
        </w:rPr>
        <w:t xml:space="preserve"> csehországi</w:t>
      </w:r>
      <w:r w:rsidR="00AD398F">
        <w:rPr>
          <w:rFonts w:eastAsiaTheme="minorHAnsi"/>
          <w:b/>
          <w:bCs/>
          <w:lang w:eastAsia="en-US"/>
        </w:rPr>
        <w:t xml:space="preserve"> vállalkozás megtévesztő árfeltüntetési gyakorlatával és a weboldalon megjelenő sürgető üzenetekkel tévesztette</w:t>
      </w:r>
      <w:r w:rsidR="00036161">
        <w:rPr>
          <w:rFonts w:eastAsiaTheme="minorHAnsi"/>
          <w:b/>
          <w:bCs/>
          <w:lang w:eastAsia="en-US"/>
        </w:rPr>
        <w:t xml:space="preserve"> meg</w:t>
      </w:r>
      <w:r w:rsidR="00AD398F">
        <w:rPr>
          <w:rFonts w:eastAsiaTheme="minorHAnsi"/>
          <w:b/>
          <w:bCs/>
          <w:lang w:eastAsia="en-US"/>
        </w:rPr>
        <w:t xml:space="preserve"> a fogyasztókat. A GVH Versenytanácsa tisztességtelen kereskedelmi gyakorlat tilalmának megsértése miatt</w:t>
      </w:r>
      <w:r w:rsidR="00036161">
        <w:rPr>
          <w:rFonts w:eastAsiaTheme="minorHAnsi"/>
          <w:b/>
          <w:bCs/>
          <w:lang w:eastAsia="en-US"/>
        </w:rPr>
        <w:t xml:space="preserve"> – hat hónapos részletfizetéssel – </w:t>
      </w:r>
      <w:r w:rsidR="00AD398F">
        <w:rPr>
          <w:rFonts w:eastAsiaTheme="minorHAnsi"/>
          <w:b/>
          <w:bCs/>
          <w:lang w:eastAsia="en-US"/>
        </w:rPr>
        <w:t>126 millió forintos bírságot szabott ki a cégre</w:t>
      </w:r>
      <w:r w:rsidR="00036161">
        <w:rPr>
          <w:rFonts w:eastAsiaTheme="minorHAnsi"/>
          <w:b/>
          <w:bCs/>
          <w:lang w:eastAsia="en-US"/>
        </w:rPr>
        <w:t>.</w:t>
      </w:r>
    </w:p>
    <w:p w14:paraId="26DA7E24" w14:textId="2B93476C" w:rsidR="007C51DC" w:rsidRDefault="000D0860" w:rsidP="007C51DC">
      <w:pPr>
        <w:spacing w:after="120" w:line="264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A nemzeti versenyhatóság a vizsgálat során megállapította, hogy a </w:t>
      </w:r>
      <w:r w:rsidR="00A8614C">
        <w:rPr>
          <w:rFonts w:eastAsiaTheme="minorHAnsi"/>
          <w:lang w:eastAsia="en-US"/>
        </w:rPr>
        <w:t>la</w:t>
      </w:r>
      <w:r>
        <w:rPr>
          <w:rFonts w:eastAsiaTheme="minorHAnsi"/>
          <w:lang w:eastAsia="en-US"/>
        </w:rPr>
        <w:t>mp</w:t>
      </w:r>
      <w:r w:rsidR="00A8614C">
        <w:rPr>
          <w:rFonts w:eastAsiaTheme="minorHAnsi"/>
          <w:lang w:eastAsia="en-US"/>
        </w:rPr>
        <w:t>a</w:t>
      </w:r>
      <w:r>
        <w:rPr>
          <w:rFonts w:eastAsiaTheme="minorHAnsi"/>
          <w:lang w:eastAsia="en-US"/>
        </w:rPr>
        <w:t>k.hu webáruházat üzemeltető Donoci s.r.o. tisztességtelen kereskedelmi gyakorlatot folytatott. A csehországi székhelyű vállalkozás</w:t>
      </w:r>
      <w:r w:rsidR="005378AC">
        <w:rPr>
          <w:rFonts w:eastAsiaTheme="minorHAnsi"/>
          <w:lang w:eastAsia="en-US"/>
        </w:rPr>
        <w:t xml:space="preserve"> 2020 augusztusától kezdődően</w:t>
      </w:r>
      <w:r w:rsidR="00B6638E">
        <w:rPr>
          <w:rFonts w:eastAsiaTheme="minorHAnsi"/>
          <w:lang w:eastAsia="en-US"/>
        </w:rPr>
        <w:t xml:space="preserve">, több módon is </w:t>
      </w:r>
      <w:r w:rsidR="001B44B1">
        <w:rPr>
          <w:rFonts w:eastAsiaTheme="minorHAnsi"/>
          <w:lang w:eastAsia="en-US"/>
        </w:rPr>
        <w:t xml:space="preserve">tisztességtelenül </w:t>
      </w:r>
      <w:r w:rsidR="009C55FA">
        <w:rPr>
          <w:rFonts w:eastAsiaTheme="minorHAnsi"/>
          <w:lang w:eastAsia="en-US"/>
        </w:rPr>
        <w:t xml:space="preserve">torzította </w:t>
      </w:r>
      <w:r w:rsidR="00B6638E">
        <w:rPr>
          <w:rFonts w:eastAsiaTheme="minorHAnsi"/>
          <w:lang w:eastAsia="en-US"/>
        </w:rPr>
        <w:t xml:space="preserve">a vásárlók ügyleti döntéseit, </w:t>
      </w:r>
      <w:r w:rsidR="001B44B1">
        <w:rPr>
          <w:rFonts w:eastAsiaTheme="minorHAnsi"/>
          <w:lang w:eastAsia="en-US"/>
        </w:rPr>
        <w:t>ugyanis:</w:t>
      </w:r>
    </w:p>
    <w:p w14:paraId="3F8C9B1B" w14:textId="7078FD04" w:rsidR="000D0860" w:rsidRDefault="009C55FA" w:rsidP="000D0860">
      <w:pPr>
        <w:pStyle w:val="Listaszerbekezds"/>
        <w:numPr>
          <w:ilvl w:val="0"/>
          <w:numId w:val="2"/>
        </w:num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D0860">
        <w:rPr>
          <w:rFonts w:ascii="Times New Roman" w:hAnsi="Times New Roman" w:cs="Times New Roman"/>
          <w:sz w:val="24"/>
          <w:szCs w:val="24"/>
        </w:rPr>
        <w:t>em igazolta, hogy a weboldalán nyújtott akciók előtt alkalmazta-e az eredeti árként feltüntetett árat, sőt sok esetben folyamatosan az akciósnak fenntartott árakat alkalmazta, így azok nem valódi megtakarításokat, árkedvezményeket jelöltek.</w:t>
      </w:r>
    </w:p>
    <w:p w14:paraId="521D5D87" w14:textId="56891050" w:rsidR="000D0860" w:rsidRDefault="009C55FA" w:rsidP="000D0860">
      <w:pPr>
        <w:pStyle w:val="Listaszerbekezds"/>
        <w:numPr>
          <w:ilvl w:val="0"/>
          <w:numId w:val="2"/>
        </w:num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5378AC">
        <w:rPr>
          <w:rFonts w:ascii="Times New Roman" w:hAnsi="Times New Roman" w:cs="Times New Roman"/>
          <w:sz w:val="24"/>
          <w:szCs w:val="24"/>
        </w:rPr>
        <w:t xml:space="preserve">gyes termékek népszerűsítése során valótlan tájékoztatást adott a termékek iránti keresletről, </w:t>
      </w:r>
      <w:r w:rsidR="00B6638E" w:rsidRPr="00B6638E">
        <w:rPr>
          <w:rFonts w:ascii="Times New Roman" w:hAnsi="Times New Roman" w:cs="Times New Roman"/>
          <w:sz w:val="24"/>
          <w:szCs w:val="24"/>
        </w:rPr>
        <w:t xml:space="preserve">mivel nem a fogyasztók számára releváns hazai </w:t>
      </w:r>
      <w:r w:rsidR="00B6638E">
        <w:rPr>
          <w:rFonts w:ascii="Times New Roman" w:hAnsi="Times New Roman" w:cs="Times New Roman"/>
          <w:sz w:val="24"/>
          <w:szCs w:val="24"/>
        </w:rPr>
        <w:t>keresleti adatokat</w:t>
      </w:r>
      <w:r w:rsidR="00B6638E" w:rsidRPr="00B6638E">
        <w:rPr>
          <w:rFonts w:ascii="Times New Roman" w:hAnsi="Times New Roman" w:cs="Times New Roman"/>
          <w:sz w:val="24"/>
          <w:szCs w:val="24"/>
        </w:rPr>
        <w:t xml:space="preserve"> ismertette</w:t>
      </w:r>
      <w:r w:rsidR="00B6638E">
        <w:rPr>
          <w:rFonts w:ascii="Times New Roman" w:hAnsi="Times New Roman" w:cs="Times New Roman"/>
          <w:sz w:val="24"/>
          <w:szCs w:val="24"/>
        </w:rPr>
        <w:t>.</w:t>
      </w:r>
    </w:p>
    <w:p w14:paraId="12BF950D" w14:textId="398E4DBD" w:rsidR="00B6638E" w:rsidRDefault="009C55FA" w:rsidP="000D0860">
      <w:pPr>
        <w:pStyle w:val="Listaszerbekezds"/>
        <w:numPr>
          <w:ilvl w:val="0"/>
          <w:numId w:val="2"/>
        </w:num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6638E">
        <w:rPr>
          <w:rFonts w:ascii="Times New Roman" w:hAnsi="Times New Roman" w:cs="Times New Roman"/>
          <w:sz w:val="24"/>
          <w:szCs w:val="24"/>
        </w:rPr>
        <w:t xml:space="preserve">ind tartalmuk, mind megjelenésük alapján sürgető üzeneteket jelenített meg a weboldalán, például a termékek árkedvezménnyel elérhető időtartamának korlátozottságára. </w:t>
      </w:r>
    </w:p>
    <w:p w14:paraId="2E6D09A4" w14:textId="76029D5E" w:rsidR="00B6638E" w:rsidRDefault="00B6638E" w:rsidP="00B6638E">
      <w:pPr>
        <w:spacing w:after="120" w:line="264" w:lineRule="auto"/>
        <w:rPr>
          <w:bCs/>
        </w:rPr>
      </w:pPr>
      <w:r>
        <w:rPr>
          <w:rFonts w:eastAsiaTheme="minorHAnsi"/>
        </w:rPr>
        <w:t xml:space="preserve">A vállalkozás ezen felül </w:t>
      </w:r>
      <w:r w:rsidR="001B44B1">
        <w:rPr>
          <w:bCs/>
        </w:rPr>
        <w:t>két terméket</w:t>
      </w:r>
      <w:r w:rsidRPr="00236791">
        <w:rPr>
          <w:bCs/>
        </w:rPr>
        <w:t xml:space="preserve"> magasabb áron kínált</w:t>
      </w:r>
      <w:r w:rsidR="009C55FA">
        <w:rPr>
          <w:bCs/>
        </w:rPr>
        <w:t xml:space="preserve"> </w:t>
      </w:r>
      <w:r w:rsidRPr="00236791">
        <w:rPr>
          <w:bCs/>
        </w:rPr>
        <w:t>ajándékkal, mint anélkül</w:t>
      </w:r>
      <w:r>
        <w:rPr>
          <w:bCs/>
        </w:rPr>
        <w:t>. A csomagajánlat</w:t>
      </w:r>
      <w:r w:rsidR="001B44B1">
        <w:rPr>
          <w:bCs/>
        </w:rPr>
        <w:t xml:space="preserve"> tehát</w:t>
      </w:r>
      <w:r>
        <w:rPr>
          <w:bCs/>
        </w:rPr>
        <w:t xml:space="preserve"> tartalmazta az „ajándék” értékét, amely </w:t>
      </w:r>
      <w:r w:rsidR="00E005DD">
        <w:rPr>
          <w:bCs/>
        </w:rPr>
        <w:t>ezáltal</w:t>
      </w:r>
      <w:r w:rsidR="003E3DB4">
        <w:rPr>
          <w:bCs/>
        </w:rPr>
        <w:t xml:space="preserve"> a gyakorlatban</w:t>
      </w:r>
      <w:r>
        <w:rPr>
          <w:bCs/>
        </w:rPr>
        <w:t xml:space="preserve"> elvesztette ezen minőségét.</w:t>
      </w:r>
    </w:p>
    <w:p w14:paraId="49508D99" w14:textId="14A4D4AC" w:rsidR="003E3DB4" w:rsidRDefault="003E3DB4" w:rsidP="00B6638E">
      <w:pPr>
        <w:spacing w:after="120" w:line="264" w:lineRule="auto"/>
        <w:rPr>
          <w:rFonts w:eastAsiaTheme="minorHAnsi"/>
        </w:rPr>
      </w:pPr>
      <w:r>
        <w:rPr>
          <w:rFonts w:eastAsiaTheme="minorHAnsi"/>
        </w:rPr>
        <w:t>A vállalkozás az eljárás során végig együttműködött a nemzeti versenyhatósággal, elismerte a jogsértést és jogorvoslati jogáról is lemondott</w:t>
      </w:r>
      <w:r w:rsidR="00F63CAF">
        <w:rPr>
          <w:rFonts w:eastAsiaTheme="minorHAnsi"/>
        </w:rPr>
        <w:t>, továbbá komplex megfelelési csomagot vállalt</w:t>
      </w:r>
      <w:r>
        <w:rPr>
          <w:rFonts w:eastAsiaTheme="minorHAnsi"/>
        </w:rPr>
        <w:t xml:space="preserve">. A </w:t>
      </w:r>
      <w:r w:rsidR="00036161">
        <w:rPr>
          <w:rFonts w:eastAsiaTheme="minorHAnsi"/>
        </w:rPr>
        <w:t xml:space="preserve">cég </w:t>
      </w:r>
      <w:r>
        <w:rPr>
          <w:rFonts w:eastAsiaTheme="minorHAnsi"/>
        </w:rPr>
        <w:t>együttműködő hozzáállását és</w:t>
      </w:r>
      <w:r w:rsidR="00036161">
        <w:rPr>
          <w:rFonts w:eastAsiaTheme="minorHAnsi"/>
        </w:rPr>
        <w:t xml:space="preserve"> korrekciós</w:t>
      </w:r>
      <w:r>
        <w:rPr>
          <w:rFonts w:eastAsiaTheme="minorHAnsi"/>
        </w:rPr>
        <w:t xml:space="preserve"> lépéseit mérlegelve a GVH Versenytanácsa jelentős mértékben csökkentette a kiszabott bírság összegét, így végül 126 millió forintos bírságot rótt ki a cégre</w:t>
      </w:r>
      <w:r w:rsidR="00036161">
        <w:rPr>
          <w:rFonts w:eastAsiaTheme="minorHAnsi"/>
        </w:rPr>
        <w:t>. A vállalkozásnak a bírság befizetését hat hónap alatt egyenlő részletekben kell teljesítenie.</w:t>
      </w:r>
    </w:p>
    <w:p w14:paraId="11B1E61D" w14:textId="4994E123" w:rsidR="003E3DB4" w:rsidRDefault="003E3DB4" w:rsidP="00B6638E">
      <w:pPr>
        <w:spacing w:after="120" w:line="264" w:lineRule="auto"/>
        <w:rPr>
          <w:rFonts w:eastAsiaTheme="minorHAnsi"/>
        </w:rPr>
      </w:pPr>
      <w:r>
        <w:rPr>
          <w:rFonts w:eastAsiaTheme="minorHAnsi"/>
        </w:rPr>
        <w:t>Az ügy kapcsán a Gazdasági Versenyhivatal felhívja a vállalkozások figyelmét, hogy megéri együttműködni a nemzeti versenyhatósággal. Számos</w:t>
      </w:r>
      <w:r w:rsidR="00FF624A">
        <w:rPr>
          <w:rFonts w:eastAsiaTheme="minorHAnsi"/>
        </w:rPr>
        <w:t xml:space="preserve"> együttműködési</w:t>
      </w:r>
      <w:r>
        <w:rPr>
          <w:rFonts w:eastAsiaTheme="minorHAnsi"/>
        </w:rPr>
        <w:t xml:space="preserve"> lehetőség áll a vállalkozások előtt</w:t>
      </w:r>
      <w:r w:rsidR="00FF624A">
        <w:rPr>
          <w:rFonts w:eastAsiaTheme="minorHAnsi"/>
        </w:rPr>
        <w:t>, melyek igénybevételével jelentősen csökkenthetik az eljárás végén kiszabandó bírságot, és bizonyos esetekben</w:t>
      </w:r>
      <w:r w:rsidR="001B44B1">
        <w:rPr>
          <w:rFonts w:eastAsiaTheme="minorHAnsi"/>
        </w:rPr>
        <w:t xml:space="preserve"> (megfelelő kötelezettségvállalás benyújtása esetén)</w:t>
      </w:r>
      <w:r w:rsidR="00FF624A">
        <w:rPr>
          <w:rFonts w:eastAsiaTheme="minorHAnsi"/>
        </w:rPr>
        <w:t xml:space="preserve"> </w:t>
      </w:r>
      <w:r w:rsidR="00036161">
        <w:rPr>
          <w:rFonts w:eastAsiaTheme="minorHAnsi"/>
        </w:rPr>
        <w:t xml:space="preserve">akár </w:t>
      </w:r>
      <w:r w:rsidR="00FF624A">
        <w:rPr>
          <w:rFonts w:eastAsiaTheme="minorHAnsi"/>
        </w:rPr>
        <w:t>még a jogsértés megállapítását is elkerülhetik.</w:t>
      </w:r>
    </w:p>
    <w:p w14:paraId="2C2B628B" w14:textId="61D743BE" w:rsidR="003E3DB4" w:rsidRPr="00B6638E" w:rsidRDefault="00FF624A" w:rsidP="00036161">
      <w:pPr>
        <w:spacing w:after="120" w:line="264" w:lineRule="auto"/>
        <w:rPr>
          <w:rFonts w:eastAsiaTheme="minorHAnsi"/>
          <w:lang w:eastAsia="en-US"/>
        </w:rPr>
      </w:pPr>
      <w:r w:rsidRPr="006F70D4">
        <w:rPr>
          <w:rFonts w:eastAsiaTheme="minorHAnsi"/>
          <w:lang w:eastAsia="en-US"/>
        </w:rPr>
        <w:t xml:space="preserve">A Gazdasági Versenyhivatallal fennálló együttműködési lehetőségek feltételei, részletei és az együttműködéseken keresztül kapható engedmények </w:t>
      </w:r>
      <w:r w:rsidR="00036161">
        <w:rPr>
          <w:rFonts w:eastAsiaTheme="minorHAnsi"/>
          <w:lang w:eastAsia="en-US"/>
        </w:rPr>
        <w:t xml:space="preserve">elérhetők </w:t>
      </w:r>
      <w:r w:rsidRPr="006F70D4">
        <w:rPr>
          <w:rFonts w:eastAsiaTheme="minorHAnsi"/>
          <w:lang w:eastAsia="en-US"/>
        </w:rPr>
        <w:t xml:space="preserve">a </w:t>
      </w:r>
      <w:hyperlink r:id="rId8" w:history="1">
        <w:r w:rsidRPr="00036161">
          <w:rPr>
            <w:rStyle w:val="Hiperhivatkozs"/>
            <w:rFonts w:eastAsiaTheme="minorHAnsi"/>
            <w:lang w:eastAsia="en-US"/>
          </w:rPr>
          <w:t>GHV honlapján</w:t>
        </w:r>
      </w:hyperlink>
      <w:r w:rsidR="00036161">
        <w:rPr>
          <w:rFonts w:eastAsiaTheme="minorHAnsi"/>
          <w:color w:val="0000FF"/>
          <w:u w:val="single"/>
          <w:lang w:eastAsia="en-US"/>
        </w:rPr>
        <w:t>.</w:t>
      </w:r>
    </w:p>
    <w:p w14:paraId="564AC320" w14:textId="0002442B" w:rsidR="00A77466" w:rsidRPr="006F70D4" w:rsidRDefault="00A77466" w:rsidP="00352001">
      <w:pPr>
        <w:spacing w:after="120" w:line="264" w:lineRule="auto"/>
        <w:rPr>
          <w:rFonts w:eastAsiaTheme="minorHAnsi"/>
          <w:lang w:eastAsia="en-US"/>
        </w:rPr>
      </w:pPr>
      <w:r w:rsidRPr="00A77466">
        <w:rPr>
          <w:rFonts w:eastAsiaTheme="minorHAnsi"/>
          <w:lang w:eastAsia="en-US"/>
        </w:rPr>
        <w:t xml:space="preserve">Az ügy hivatali nyilvántartási száma: </w:t>
      </w:r>
      <w:r w:rsidRPr="00A77466">
        <w:rPr>
          <w:rFonts w:eastAsiaTheme="minorHAnsi"/>
          <w:b/>
          <w:bCs/>
          <w:lang w:eastAsia="en-US"/>
        </w:rPr>
        <w:t>VJ/</w:t>
      </w:r>
      <w:r w:rsidR="003E3DB4">
        <w:rPr>
          <w:rFonts w:eastAsiaTheme="minorHAnsi"/>
          <w:b/>
          <w:bCs/>
          <w:lang w:eastAsia="en-US"/>
        </w:rPr>
        <w:t>25</w:t>
      </w:r>
      <w:r w:rsidRPr="00A77466">
        <w:rPr>
          <w:rFonts w:eastAsiaTheme="minorHAnsi"/>
          <w:b/>
          <w:bCs/>
          <w:lang w:eastAsia="en-US"/>
        </w:rPr>
        <w:t>/202</w:t>
      </w:r>
      <w:r w:rsidR="003E3DB4">
        <w:rPr>
          <w:rFonts w:eastAsiaTheme="minorHAnsi"/>
          <w:b/>
          <w:bCs/>
          <w:lang w:eastAsia="en-US"/>
        </w:rPr>
        <w:t>2</w:t>
      </w:r>
      <w:r w:rsidRPr="00A77466">
        <w:rPr>
          <w:rFonts w:eastAsiaTheme="minorHAnsi"/>
          <w:b/>
          <w:bCs/>
          <w:lang w:eastAsia="en-US"/>
        </w:rPr>
        <w:t>.</w:t>
      </w:r>
    </w:p>
    <w:p w14:paraId="4975C93D" w14:textId="74E1591A" w:rsidR="00361831" w:rsidRPr="006A045E" w:rsidRDefault="00361831" w:rsidP="00361831">
      <w:pPr>
        <w:spacing w:after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46B5F357" w14:textId="77777777" w:rsidR="00361831" w:rsidRDefault="00361831" w:rsidP="00361831">
      <w:pPr>
        <w:spacing w:after="0"/>
      </w:pPr>
    </w:p>
    <w:p w14:paraId="4D4523B3" w14:textId="77777777" w:rsidR="00361831" w:rsidRDefault="00361831" w:rsidP="00361831">
      <w:pPr>
        <w:spacing w:after="0"/>
      </w:pPr>
      <w:r>
        <w:t>További információ:</w:t>
      </w:r>
    </w:p>
    <w:p w14:paraId="707774B9" w14:textId="77777777" w:rsidR="00361831" w:rsidRDefault="00361831" w:rsidP="00361831">
      <w:pPr>
        <w:spacing w:after="0"/>
      </w:pPr>
      <w:r>
        <w:t>Horváth Bálint, kommunikációs vezető +36 20 238 6939</w:t>
      </w:r>
    </w:p>
    <w:p w14:paraId="4198A9CE" w14:textId="5886B339" w:rsidR="002A426E" w:rsidRDefault="00361831" w:rsidP="004F59B4">
      <w:pPr>
        <w:spacing w:after="0"/>
      </w:pPr>
      <w:r>
        <w:t>Gondolovics Katalin, sajtószóvivő +36 30 603 1170</w:t>
      </w:r>
    </w:p>
    <w:sectPr w:rsidR="002A426E" w:rsidSect="00A77466"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28C02" w14:textId="77777777" w:rsidR="000F30BC" w:rsidRDefault="000F30BC">
      <w:pPr>
        <w:spacing w:after="0" w:line="240" w:lineRule="auto"/>
      </w:pPr>
      <w:r>
        <w:separator/>
      </w:r>
    </w:p>
  </w:endnote>
  <w:endnote w:type="continuationSeparator" w:id="0">
    <w:p w14:paraId="4FEB37DD" w14:textId="77777777" w:rsidR="000F30BC" w:rsidRDefault="000F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A2753E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26643E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5C3B6" w14:textId="77777777" w:rsidR="00656BFA" w:rsidRDefault="00656BFA">
    <w:pPr>
      <w:tabs>
        <w:tab w:val="left" w:pos="3226"/>
      </w:tabs>
      <w:rPr>
        <w:rFonts w:eastAsia="Arial"/>
        <w:sz w:val="20"/>
        <w:szCs w:val="20"/>
      </w:rPr>
    </w:pPr>
  </w:p>
  <w:p w14:paraId="26D6C2FF" w14:textId="419345B3" w:rsidR="00A2753E" w:rsidRPr="007B72F1" w:rsidRDefault="00736F52">
    <w:pPr>
      <w:tabs>
        <w:tab w:val="left" w:pos="3226"/>
      </w:tabs>
      <w:rPr>
        <w:sz w:val="20"/>
        <w:szCs w:val="20"/>
      </w:rPr>
    </w:pPr>
    <w:r w:rsidRPr="007B72F1">
      <w:rPr>
        <w:rFonts w:eastAsia="Arial"/>
        <w:sz w:val="20"/>
        <w:szCs w:val="20"/>
      </w:rPr>
      <w:t>1026 Budapest, Riadó u. 1-3.</w:t>
    </w:r>
    <w:r w:rsidRPr="007B72F1">
      <w:rPr>
        <w:rFonts w:eastAsia="Arial"/>
        <w:sz w:val="20"/>
        <w:szCs w:val="20"/>
      </w:rPr>
      <w:tab/>
    </w:r>
    <w:r w:rsidRPr="007B72F1">
      <w:rPr>
        <w:rFonts w:eastAsia="Arial"/>
        <w:sz w:val="20"/>
        <w:szCs w:val="20"/>
      </w:rPr>
      <w:tab/>
    </w:r>
    <w:r w:rsidRPr="007B72F1">
      <w:rPr>
        <w:rFonts w:eastAsia="Arial"/>
        <w:sz w:val="20"/>
        <w:szCs w:val="20"/>
      </w:rPr>
      <w:tab/>
    </w:r>
    <w:r w:rsidRPr="007B72F1">
      <w:rPr>
        <w:rFonts w:eastAsia="Arial"/>
        <w:sz w:val="20"/>
        <w:szCs w:val="20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22466" w14:textId="77777777" w:rsidR="000F30BC" w:rsidRDefault="000F30BC">
      <w:pPr>
        <w:spacing w:after="0" w:line="240" w:lineRule="auto"/>
      </w:pPr>
      <w:r>
        <w:separator/>
      </w:r>
    </w:p>
  </w:footnote>
  <w:footnote w:type="continuationSeparator" w:id="0">
    <w:p w14:paraId="26325E77" w14:textId="77777777" w:rsidR="000F30BC" w:rsidRDefault="000F3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A2753E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8570A"/>
    <w:multiLevelType w:val="hybridMultilevel"/>
    <w:tmpl w:val="AE9ACB90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631711761">
    <w:abstractNumId w:val="0"/>
  </w:num>
  <w:num w:numId="2" w16cid:durableId="881331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AF6"/>
    <w:rsid w:val="00033183"/>
    <w:rsid w:val="00036161"/>
    <w:rsid w:val="000546AD"/>
    <w:rsid w:val="00055453"/>
    <w:rsid w:val="00057D8B"/>
    <w:rsid w:val="000870D5"/>
    <w:rsid w:val="000D0860"/>
    <w:rsid w:val="000E013D"/>
    <w:rsid w:val="000F30BC"/>
    <w:rsid w:val="00154E22"/>
    <w:rsid w:val="00166C7F"/>
    <w:rsid w:val="00167743"/>
    <w:rsid w:val="001A0184"/>
    <w:rsid w:val="001A3E80"/>
    <w:rsid w:val="001A45E8"/>
    <w:rsid w:val="001B44B1"/>
    <w:rsid w:val="001D00E6"/>
    <w:rsid w:val="001F3B47"/>
    <w:rsid w:val="00202D48"/>
    <w:rsid w:val="00206DF4"/>
    <w:rsid w:val="00231909"/>
    <w:rsid w:val="002574F3"/>
    <w:rsid w:val="00262D6F"/>
    <w:rsid w:val="0026643E"/>
    <w:rsid w:val="002A0E05"/>
    <w:rsid w:val="002A426E"/>
    <w:rsid w:val="002B5D64"/>
    <w:rsid w:val="002C59D6"/>
    <w:rsid w:val="002D579D"/>
    <w:rsid w:val="002D7A9E"/>
    <w:rsid w:val="002E3BB4"/>
    <w:rsid w:val="002F0404"/>
    <w:rsid w:val="00335A3A"/>
    <w:rsid w:val="003415C6"/>
    <w:rsid w:val="00352001"/>
    <w:rsid w:val="00361831"/>
    <w:rsid w:val="00375DD5"/>
    <w:rsid w:val="003931A4"/>
    <w:rsid w:val="00396409"/>
    <w:rsid w:val="003A5B4C"/>
    <w:rsid w:val="003B59D6"/>
    <w:rsid w:val="003C35EB"/>
    <w:rsid w:val="003C51E4"/>
    <w:rsid w:val="003C5434"/>
    <w:rsid w:val="003E3DB4"/>
    <w:rsid w:val="003E675C"/>
    <w:rsid w:val="00424B8A"/>
    <w:rsid w:val="00430D05"/>
    <w:rsid w:val="0045121F"/>
    <w:rsid w:val="00472DD2"/>
    <w:rsid w:val="0048207F"/>
    <w:rsid w:val="00491BFC"/>
    <w:rsid w:val="004C382C"/>
    <w:rsid w:val="004D4DFD"/>
    <w:rsid w:val="004D72B2"/>
    <w:rsid w:val="004E3CF2"/>
    <w:rsid w:val="004E763E"/>
    <w:rsid w:val="004F164F"/>
    <w:rsid w:val="004F59B4"/>
    <w:rsid w:val="00510FF0"/>
    <w:rsid w:val="005229F0"/>
    <w:rsid w:val="00531D54"/>
    <w:rsid w:val="005378AC"/>
    <w:rsid w:val="00537F49"/>
    <w:rsid w:val="00545903"/>
    <w:rsid w:val="005566B7"/>
    <w:rsid w:val="005574B9"/>
    <w:rsid w:val="005A384B"/>
    <w:rsid w:val="005A4856"/>
    <w:rsid w:val="005B31C0"/>
    <w:rsid w:val="005E13E7"/>
    <w:rsid w:val="005E7373"/>
    <w:rsid w:val="005F7B3F"/>
    <w:rsid w:val="00626E97"/>
    <w:rsid w:val="00633625"/>
    <w:rsid w:val="00633DCD"/>
    <w:rsid w:val="00656BFA"/>
    <w:rsid w:val="00662D35"/>
    <w:rsid w:val="00692377"/>
    <w:rsid w:val="006F2818"/>
    <w:rsid w:val="006F70D4"/>
    <w:rsid w:val="00700D75"/>
    <w:rsid w:val="007200C4"/>
    <w:rsid w:val="0072038E"/>
    <w:rsid w:val="00721F53"/>
    <w:rsid w:val="00736F52"/>
    <w:rsid w:val="00771B9F"/>
    <w:rsid w:val="00785C74"/>
    <w:rsid w:val="007A7CDF"/>
    <w:rsid w:val="007B72F1"/>
    <w:rsid w:val="007C51DC"/>
    <w:rsid w:val="007E0B83"/>
    <w:rsid w:val="007E12D8"/>
    <w:rsid w:val="007E7FE3"/>
    <w:rsid w:val="008302EE"/>
    <w:rsid w:val="00831E17"/>
    <w:rsid w:val="00835934"/>
    <w:rsid w:val="008927DB"/>
    <w:rsid w:val="008B5571"/>
    <w:rsid w:val="008C44CC"/>
    <w:rsid w:val="008D2195"/>
    <w:rsid w:val="008F43F8"/>
    <w:rsid w:val="00904062"/>
    <w:rsid w:val="00905BBD"/>
    <w:rsid w:val="00911946"/>
    <w:rsid w:val="009259A9"/>
    <w:rsid w:val="00933AD1"/>
    <w:rsid w:val="009404D8"/>
    <w:rsid w:val="0096035C"/>
    <w:rsid w:val="00992858"/>
    <w:rsid w:val="009C2511"/>
    <w:rsid w:val="009C55FA"/>
    <w:rsid w:val="00A127BB"/>
    <w:rsid w:val="00A23ED6"/>
    <w:rsid w:val="00A2753E"/>
    <w:rsid w:val="00A321F7"/>
    <w:rsid w:val="00A32CF1"/>
    <w:rsid w:val="00A45DD3"/>
    <w:rsid w:val="00A56BD4"/>
    <w:rsid w:val="00A577FC"/>
    <w:rsid w:val="00A715B2"/>
    <w:rsid w:val="00A77466"/>
    <w:rsid w:val="00A8614C"/>
    <w:rsid w:val="00A86AF8"/>
    <w:rsid w:val="00A96E66"/>
    <w:rsid w:val="00AA6119"/>
    <w:rsid w:val="00AA6791"/>
    <w:rsid w:val="00AD398F"/>
    <w:rsid w:val="00AF1A47"/>
    <w:rsid w:val="00AF7964"/>
    <w:rsid w:val="00B43BC7"/>
    <w:rsid w:val="00B45945"/>
    <w:rsid w:val="00B6413F"/>
    <w:rsid w:val="00B6638E"/>
    <w:rsid w:val="00BC4099"/>
    <w:rsid w:val="00BE280A"/>
    <w:rsid w:val="00BF1851"/>
    <w:rsid w:val="00C17311"/>
    <w:rsid w:val="00C4497D"/>
    <w:rsid w:val="00C467E5"/>
    <w:rsid w:val="00C52750"/>
    <w:rsid w:val="00C7750A"/>
    <w:rsid w:val="00C87708"/>
    <w:rsid w:val="00C878D4"/>
    <w:rsid w:val="00C9083F"/>
    <w:rsid w:val="00C94731"/>
    <w:rsid w:val="00CA2EBA"/>
    <w:rsid w:val="00CD56C9"/>
    <w:rsid w:val="00CD63D8"/>
    <w:rsid w:val="00D16789"/>
    <w:rsid w:val="00D17AE1"/>
    <w:rsid w:val="00D213C7"/>
    <w:rsid w:val="00D31443"/>
    <w:rsid w:val="00D35441"/>
    <w:rsid w:val="00D818C1"/>
    <w:rsid w:val="00D81B2E"/>
    <w:rsid w:val="00D90F9D"/>
    <w:rsid w:val="00DA3CE7"/>
    <w:rsid w:val="00DB1166"/>
    <w:rsid w:val="00DB2E94"/>
    <w:rsid w:val="00DB780D"/>
    <w:rsid w:val="00DC429F"/>
    <w:rsid w:val="00DE2921"/>
    <w:rsid w:val="00E005DD"/>
    <w:rsid w:val="00E22F44"/>
    <w:rsid w:val="00E322A5"/>
    <w:rsid w:val="00E3581E"/>
    <w:rsid w:val="00E43C8E"/>
    <w:rsid w:val="00E44D7A"/>
    <w:rsid w:val="00E45607"/>
    <w:rsid w:val="00E665BD"/>
    <w:rsid w:val="00E761EB"/>
    <w:rsid w:val="00EB2663"/>
    <w:rsid w:val="00EC4637"/>
    <w:rsid w:val="00EC4A57"/>
    <w:rsid w:val="00EE0B58"/>
    <w:rsid w:val="00F13997"/>
    <w:rsid w:val="00F22CD6"/>
    <w:rsid w:val="00F261FE"/>
    <w:rsid w:val="00F462B2"/>
    <w:rsid w:val="00F4708C"/>
    <w:rsid w:val="00F54D0C"/>
    <w:rsid w:val="00F63CAF"/>
    <w:rsid w:val="00F90B45"/>
    <w:rsid w:val="00F91CE4"/>
    <w:rsid w:val="00F922F9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docId w15:val="{F6FFD92A-87BA-4281-9C85-ADDC1587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character" w:customStyle="1" w:styleId="ListaszerbekezdsChar">
    <w:name w:val="Listaszerű bekezdés Char"/>
    <w:aliases w:val="Számozott lista 1 Char,List Paragraph à moi Char,Dot pt Char,No Spacing1 Char,List Paragraph Char Char Char Char,Indicator Text Char,Numbered Para 1 Char,Listaszerű bekezdés 1. szint Char,Számozás Char,Eszeri felsorolás Char"/>
    <w:basedOn w:val="Bekezdsalapbettpusa"/>
    <w:link w:val="Listaszerbekezds"/>
    <w:uiPriority w:val="34"/>
    <w:qFormat/>
    <w:locked/>
    <w:rsid w:val="00231909"/>
  </w:style>
  <w:style w:type="paragraph" w:styleId="Listaszerbekezds">
    <w:name w:val="List Paragraph"/>
    <w:aliases w:val="Számozott lista 1,List Paragraph à moi,Dot pt,No Spacing1,List Paragraph Char Char Char,Indicator Text,Numbered Para 1,Listaszerű bekezdés 1. szint,Számozás,Eszeri felsorolás,lista_2,Welt L Char,Welt L,Bullet List,FooterText,numbered"/>
    <w:basedOn w:val="Norml"/>
    <w:link w:val="ListaszerbekezdsChar"/>
    <w:uiPriority w:val="34"/>
    <w:qFormat/>
    <w:rsid w:val="00231909"/>
    <w:pPr>
      <w:spacing w:after="0" w:line="240" w:lineRule="auto"/>
      <w:ind w:left="72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7B7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B72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B7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B72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32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21F7"/>
    <w:rPr>
      <w:rFonts w:ascii="Tahoma" w:eastAsia="Times New Roman" w:hAnsi="Tahoma" w:cs="Tahoma"/>
      <w:sz w:val="16"/>
      <w:szCs w:val="1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262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vallalkozasoknak/eljaras-ala-vonta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B683C-6C57-44B8-939F-324528A13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Ferencz Csongor dr.</dc:creator>
  <cp:lastModifiedBy>Ferencz Csongor dr.</cp:lastModifiedBy>
  <cp:revision>4</cp:revision>
  <dcterms:created xsi:type="dcterms:W3CDTF">2024-05-29T09:14:00Z</dcterms:created>
  <dcterms:modified xsi:type="dcterms:W3CDTF">2024-05-31T06:06:00Z</dcterms:modified>
</cp:coreProperties>
</file>