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9B63" w14:textId="564BECC6" w:rsidR="00B501A1" w:rsidRDefault="00B501A1" w:rsidP="00C52A3B">
      <w:pPr>
        <w:tabs>
          <w:tab w:val="left" w:pos="567"/>
        </w:tabs>
        <w:spacing w:after="120" w:line="264" w:lineRule="auto"/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>
        <w:rPr>
          <w:b/>
          <w:sz w:val="28"/>
          <w:szCs w:val="28"/>
        </w:rPr>
        <w:t xml:space="preserve">Fellép a GVH a népszerű </w:t>
      </w:r>
      <w:proofErr w:type="spellStart"/>
      <w:r>
        <w:rPr>
          <w:b/>
          <w:sz w:val="28"/>
          <w:szCs w:val="28"/>
        </w:rPr>
        <w:t>influenszereket</w:t>
      </w:r>
      <w:proofErr w:type="spellEnd"/>
      <w:r>
        <w:rPr>
          <w:b/>
          <w:sz w:val="28"/>
          <w:szCs w:val="28"/>
        </w:rPr>
        <w:t xml:space="preserve"> követő fogyasztók érdekében</w:t>
      </w:r>
    </w:p>
    <w:p w14:paraId="40F7EE51" w14:textId="43021F51" w:rsidR="004F164F" w:rsidRPr="00B501A1" w:rsidRDefault="00B501A1" w:rsidP="00C52A3B">
      <w:pPr>
        <w:tabs>
          <w:tab w:val="left" w:pos="567"/>
        </w:tabs>
        <w:spacing w:after="120" w:line="264" w:lineRule="auto"/>
        <w:rPr>
          <w:b/>
          <w:i/>
          <w:iCs/>
        </w:rPr>
      </w:pPr>
      <w:r w:rsidRPr="00B501A1">
        <w:rPr>
          <w:b/>
          <w:i/>
          <w:iCs/>
        </w:rPr>
        <w:t>H</w:t>
      </w:r>
      <w:r w:rsidR="0056294B" w:rsidRPr="00B501A1">
        <w:rPr>
          <w:b/>
          <w:i/>
          <w:iCs/>
        </w:rPr>
        <w:t>at</w:t>
      </w:r>
      <w:r w:rsidR="000A0A4B" w:rsidRPr="00B501A1">
        <w:rPr>
          <w:b/>
          <w:i/>
          <w:iCs/>
        </w:rPr>
        <w:t xml:space="preserve"> magyar</w:t>
      </w:r>
      <w:r w:rsidR="0056294B" w:rsidRPr="00B501A1">
        <w:rPr>
          <w:b/>
          <w:i/>
          <w:iCs/>
        </w:rPr>
        <w:t xml:space="preserve"> véleményvezérrel</w:t>
      </w:r>
      <w:r w:rsidR="00770DF5" w:rsidRPr="00B501A1">
        <w:rPr>
          <w:b/>
          <w:i/>
          <w:iCs/>
        </w:rPr>
        <w:t xml:space="preserve"> és</w:t>
      </w:r>
      <w:r w:rsidR="0051229A" w:rsidRPr="00B501A1">
        <w:rPr>
          <w:b/>
          <w:i/>
          <w:iCs/>
        </w:rPr>
        <w:t xml:space="preserve"> számos</w:t>
      </w:r>
      <w:r w:rsidR="00770DF5" w:rsidRPr="00B501A1">
        <w:rPr>
          <w:b/>
          <w:i/>
          <w:iCs/>
        </w:rPr>
        <w:t xml:space="preserve"> hirdető cég</w:t>
      </w:r>
      <w:r w:rsidR="0051229A" w:rsidRPr="00B501A1">
        <w:rPr>
          <w:b/>
          <w:i/>
          <w:iCs/>
        </w:rPr>
        <w:t>gel</w:t>
      </w:r>
      <w:r w:rsidR="0056294B" w:rsidRPr="00B501A1">
        <w:rPr>
          <w:b/>
          <w:i/>
          <w:iCs/>
        </w:rPr>
        <w:t xml:space="preserve"> szemben indított eljárás</w:t>
      </w:r>
      <w:r w:rsidR="00AC5066">
        <w:rPr>
          <w:b/>
          <w:i/>
          <w:iCs/>
        </w:rPr>
        <w:t>okat</w:t>
      </w:r>
      <w:r w:rsidR="0056294B" w:rsidRPr="00B501A1">
        <w:rPr>
          <w:b/>
          <w:i/>
          <w:iCs/>
        </w:rPr>
        <w:t xml:space="preserve"> a</w:t>
      </w:r>
      <w:r>
        <w:rPr>
          <w:b/>
          <w:i/>
          <w:iCs/>
        </w:rPr>
        <w:t xml:space="preserve"> versenyhatóság</w:t>
      </w:r>
    </w:p>
    <w:bookmarkEnd w:id="0"/>
    <w:p w14:paraId="78AF32D0" w14:textId="4E8BE2D2" w:rsidR="009A512B" w:rsidRPr="00B501A1" w:rsidRDefault="00361831" w:rsidP="00C52A3B">
      <w:pPr>
        <w:tabs>
          <w:tab w:val="left" w:pos="567"/>
        </w:tabs>
        <w:spacing w:after="120" w:line="264" w:lineRule="auto"/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56294B">
        <w:rPr>
          <w:b/>
        </w:rPr>
        <w:t>május</w:t>
      </w:r>
      <w:r w:rsidR="00D213C7">
        <w:rPr>
          <w:b/>
        </w:rPr>
        <w:t xml:space="preserve"> </w:t>
      </w:r>
      <w:r w:rsidR="00220F15">
        <w:rPr>
          <w:b/>
        </w:rPr>
        <w:t>21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1"/>
      <w:r w:rsidR="009A512B" w:rsidRPr="00257907">
        <w:rPr>
          <w:b/>
        </w:rPr>
        <w:t xml:space="preserve"> </w:t>
      </w:r>
      <w:r w:rsidR="00B501A1" w:rsidRPr="00B501A1">
        <w:rPr>
          <w:b/>
        </w:rPr>
        <w:t>A</w:t>
      </w:r>
      <w:r w:rsidR="00B501A1">
        <w:rPr>
          <w:b/>
        </w:rPr>
        <w:t xml:space="preserve"> népszerű hazai</w:t>
      </w:r>
      <w:r w:rsidR="00B501A1" w:rsidRPr="00B501A1">
        <w:rPr>
          <w:b/>
        </w:rPr>
        <w:t xml:space="preserve"> </w:t>
      </w:r>
      <w:proofErr w:type="spellStart"/>
      <w:r w:rsidR="00B501A1" w:rsidRPr="00B501A1">
        <w:rPr>
          <w:b/>
        </w:rPr>
        <w:t>influenszereket</w:t>
      </w:r>
      <w:proofErr w:type="spellEnd"/>
      <w:r w:rsidR="00B501A1" w:rsidRPr="00B501A1">
        <w:rPr>
          <w:b/>
        </w:rPr>
        <w:t xml:space="preserve"> követő fogyasztók alapvető érdeke,</w:t>
      </w:r>
      <w:r w:rsidR="000C250A">
        <w:rPr>
          <w:b/>
        </w:rPr>
        <w:t xml:space="preserve"> </w:t>
      </w:r>
      <w:r w:rsidR="00B501A1" w:rsidRPr="00B501A1">
        <w:rPr>
          <w:b/>
        </w:rPr>
        <w:t>hogy egyértelműen értesülhessenek az egyes tartalmak reklámjellegéről</w:t>
      </w:r>
      <w:r w:rsidR="00B501A1">
        <w:rPr>
          <w:b/>
        </w:rPr>
        <w:t xml:space="preserve">. A Gazdasági Versenyhivatal (GVH) évek óta figyelmeztet ennek jelentőségére, illetve </w:t>
      </w:r>
      <w:proofErr w:type="spellStart"/>
      <w:r w:rsidR="00B501A1">
        <w:rPr>
          <w:b/>
        </w:rPr>
        <w:t>edukatív</w:t>
      </w:r>
      <w:proofErr w:type="spellEnd"/>
      <w:r w:rsidR="00B501A1">
        <w:rPr>
          <w:b/>
        </w:rPr>
        <w:t xml:space="preserve"> módszerekkel felhívja a figyelmet a jogkövetésre, illetve a lehetséges jogkövetkezményekre. </w:t>
      </w:r>
      <w:r w:rsidR="00B501A1" w:rsidRPr="00B501A1">
        <w:rPr>
          <w:b/>
        </w:rPr>
        <w:t xml:space="preserve">A GVH </w:t>
      </w:r>
      <w:r w:rsidR="00B501A1">
        <w:rPr>
          <w:b/>
        </w:rPr>
        <w:t xml:space="preserve">nemrég </w:t>
      </w:r>
      <w:r w:rsidR="00B501A1" w:rsidRPr="00B501A1">
        <w:rPr>
          <w:b/>
        </w:rPr>
        <w:t>lefolytatott gyorselemzése alapján a hazai véleményvezérek többnyire hiányosan, vagy egyáltalán nem tüntetik fel a tartalmaik reklámjellegét.</w:t>
      </w:r>
      <w:r w:rsidR="00B501A1">
        <w:rPr>
          <w:b/>
        </w:rPr>
        <w:t xml:space="preserve"> Ezért </w:t>
      </w:r>
      <w:r w:rsidR="00B501A1">
        <w:rPr>
          <w:b/>
          <w:bCs/>
        </w:rPr>
        <w:t xml:space="preserve">az </w:t>
      </w:r>
      <w:proofErr w:type="spellStart"/>
      <w:r w:rsidR="00B501A1">
        <w:rPr>
          <w:b/>
          <w:bCs/>
        </w:rPr>
        <w:t>influenszereket</w:t>
      </w:r>
      <w:proofErr w:type="spellEnd"/>
      <w:r w:rsidR="00B501A1">
        <w:rPr>
          <w:b/>
          <w:bCs/>
        </w:rPr>
        <w:t xml:space="preserve"> követő fogyasztók és a tiszta piaci verseny elősegítése érdekében a GVH versenyfelügyeleti </w:t>
      </w:r>
      <w:r w:rsidR="009379D0">
        <w:rPr>
          <w:b/>
          <w:bCs/>
        </w:rPr>
        <w:t>eljárás</w:t>
      </w:r>
      <w:r w:rsidR="009742F4">
        <w:rPr>
          <w:b/>
          <w:bCs/>
        </w:rPr>
        <w:t>oka</w:t>
      </w:r>
      <w:r w:rsidR="009379D0">
        <w:rPr>
          <w:b/>
          <w:bCs/>
        </w:rPr>
        <w:t xml:space="preserve">t indított </w:t>
      </w:r>
      <w:r w:rsidR="00491DC8">
        <w:rPr>
          <w:b/>
          <w:bCs/>
        </w:rPr>
        <w:t xml:space="preserve">hat hazai </w:t>
      </w:r>
      <w:proofErr w:type="spellStart"/>
      <w:r w:rsidR="00491DC8">
        <w:rPr>
          <w:b/>
          <w:bCs/>
        </w:rPr>
        <w:t>influenszerrel</w:t>
      </w:r>
      <w:proofErr w:type="spellEnd"/>
      <w:r w:rsidR="00770DF5">
        <w:rPr>
          <w:b/>
          <w:bCs/>
        </w:rPr>
        <w:t>, számos hirdető céggel</w:t>
      </w:r>
      <w:r w:rsidR="00220F15">
        <w:rPr>
          <w:b/>
          <w:bCs/>
        </w:rPr>
        <w:t xml:space="preserve">, illetve </w:t>
      </w:r>
      <w:r w:rsidR="00770DF5">
        <w:rPr>
          <w:b/>
          <w:bCs/>
        </w:rPr>
        <w:t>közreműködő reklámügynökséggel</w:t>
      </w:r>
      <w:r w:rsidR="00491DC8">
        <w:rPr>
          <w:b/>
          <w:bCs/>
        </w:rPr>
        <w:t xml:space="preserve"> szemben tisztességtelen kereskedelmi gyakorlat tilalmának feltételezett megsértése miatt.</w:t>
      </w:r>
    </w:p>
    <w:p w14:paraId="33D1F438" w14:textId="1D746B35" w:rsidR="003807C0" w:rsidRDefault="00991B2E" w:rsidP="00AC5066">
      <w:pPr>
        <w:tabs>
          <w:tab w:val="left" w:pos="567"/>
        </w:tabs>
        <w:spacing w:after="80" w:line="264" w:lineRule="auto"/>
      </w:pPr>
      <w:r w:rsidRPr="009A4D99">
        <w:t>A G</w:t>
      </w:r>
      <w:r w:rsidR="000A0A4B">
        <w:t>azdasági Versenyhivatal</w:t>
      </w:r>
      <w:r w:rsidRPr="009A4D99">
        <w:t xml:space="preserve"> </w:t>
      </w:r>
      <w:r w:rsidR="000A0A4B">
        <w:t>egyre nagyobb figyelmet fordít</w:t>
      </w:r>
      <w:r w:rsidRPr="009A4D99">
        <w:t xml:space="preserve"> </w:t>
      </w:r>
      <w:r w:rsidR="009A4D99" w:rsidRPr="009A4D99">
        <w:t>a közösségi média felületeken megjelenő reklámoknak, így a véleményvezérek reklámtevékenységének is.</w:t>
      </w:r>
      <w:r w:rsidR="000A0A4B">
        <w:t xml:space="preserve"> </w:t>
      </w:r>
      <w:r w:rsidR="003807C0" w:rsidRPr="007E7BCA">
        <w:t xml:space="preserve">A </w:t>
      </w:r>
      <w:r w:rsidR="000A0A4B">
        <w:t>GVH</w:t>
      </w:r>
      <w:r w:rsidR="003807C0" w:rsidRPr="007E7BCA">
        <w:t xml:space="preserve"> </w:t>
      </w:r>
      <w:hyperlink r:id="rId8" w:history="1">
        <w:r w:rsidR="003807C0" w:rsidRPr="003807C0">
          <w:rPr>
            <w:rStyle w:val="Hiperhivatkozs"/>
          </w:rPr>
          <w:t>2023 novemberében online ellenőrzést (</w:t>
        </w:r>
        <w:proofErr w:type="spellStart"/>
        <w:r w:rsidR="003807C0" w:rsidRPr="003807C0">
          <w:rPr>
            <w:rStyle w:val="Hiperhivatkozs"/>
          </w:rPr>
          <w:t>sweepet</w:t>
        </w:r>
        <w:proofErr w:type="spellEnd"/>
        <w:r w:rsidR="003807C0" w:rsidRPr="003807C0">
          <w:rPr>
            <w:rStyle w:val="Hiperhivatkozs"/>
          </w:rPr>
          <w:t>) tartott</w:t>
        </w:r>
      </w:hyperlink>
      <w:r w:rsidR="003807C0" w:rsidRPr="007E7BCA">
        <w:t xml:space="preserve"> a </w:t>
      </w:r>
      <w:r w:rsidR="009A4D99">
        <w:t>hazai</w:t>
      </w:r>
      <w:r w:rsidR="003807C0" w:rsidRPr="007E7BCA">
        <w:t xml:space="preserve"> </w:t>
      </w:r>
      <w:proofErr w:type="spellStart"/>
      <w:r w:rsidR="003807C0" w:rsidRPr="007E7BCA">
        <w:t>influenszerek</w:t>
      </w:r>
      <w:proofErr w:type="spellEnd"/>
      <w:r w:rsidR="003807C0" w:rsidRPr="007E7BCA">
        <w:t xml:space="preserve"> reklámozási gyakorlatának áttekintése érdekében, melynek során 28 magyar véleményvezért vizsgált a különböző közösségi platformokon (Instagram, You</w:t>
      </w:r>
      <w:r w:rsidR="00B52FDE">
        <w:t>T</w:t>
      </w:r>
      <w:r w:rsidR="003807C0" w:rsidRPr="007E7BCA">
        <w:t xml:space="preserve">ube, Facebook, </w:t>
      </w:r>
      <w:proofErr w:type="spellStart"/>
      <w:r w:rsidR="003807C0" w:rsidRPr="007E7BCA">
        <w:t>TikTok</w:t>
      </w:r>
      <w:proofErr w:type="spellEnd"/>
      <w:r w:rsidR="003807C0" w:rsidRPr="007E7BCA">
        <w:t>)</w:t>
      </w:r>
      <w:r w:rsidR="003807C0">
        <w:t xml:space="preserve">. </w:t>
      </w:r>
      <w:r w:rsidR="003807C0" w:rsidRPr="003807C0">
        <w:t>A</w:t>
      </w:r>
      <w:r w:rsidR="003807C0">
        <w:t xml:space="preserve"> </w:t>
      </w:r>
      <w:proofErr w:type="spellStart"/>
      <w:r w:rsidR="003807C0">
        <w:t>sweep</w:t>
      </w:r>
      <w:proofErr w:type="spellEnd"/>
      <w:r w:rsidR="003807C0">
        <w:t xml:space="preserve"> során</w:t>
      </w:r>
      <w:r w:rsidR="003807C0" w:rsidRPr="003807C0">
        <w:t xml:space="preserve"> </w:t>
      </w:r>
      <w:r w:rsidR="009A4D99">
        <w:t xml:space="preserve">a </w:t>
      </w:r>
      <w:r w:rsidR="003807C0" w:rsidRPr="003807C0">
        <w:t xml:space="preserve">GVH feltárta, hogy mindössze az </w:t>
      </w:r>
      <w:proofErr w:type="spellStart"/>
      <w:r w:rsidR="003807C0" w:rsidRPr="003807C0">
        <w:t>influenszerek</w:t>
      </w:r>
      <w:proofErr w:type="spellEnd"/>
      <w:r w:rsidR="003807C0" w:rsidRPr="003807C0">
        <w:t xml:space="preserve"> 20%-a tartja be minden esetben a reklámjelleg feltüntetésére vonatkozó szabályokat, a többség (54%) általában jelzi a promóciós tartalom tényét, de nem mindig</w:t>
      </w:r>
      <w:r w:rsidR="003807C0">
        <w:t xml:space="preserve">, míg a véleményvezérek mintegy </w:t>
      </w:r>
      <w:r w:rsidR="00F629C0">
        <w:t xml:space="preserve">negyede </w:t>
      </w:r>
      <w:r w:rsidR="003807C0">
        <w:t xml:space="preserve">soha, vagy csak nagyon ritkán tesz közzé bárminemű tájékoztatást. </w:t>
      </w:r>
      <w:r w:rsidR="00EF29E5" w:rsidRPr="007E7BCA">
        <w:t>A vizsgált tartalmak fizetett jellegének feltüntetési módjában is tapasztalt hiányosságokat a GVH.</w:t>
      </w:r>
    </w:p>
    <w:p w14:paraId="3FD7B8B1" w14:textId="26BE6453" w:rsidR="0010701D" w:rsidRDefault="00CF627F" w:rsidP="00AC5066">
      <w:pPr>
        <w:tabs>
          <w:tab w:val="left" w:pos="567"/>
        </w:tabs>
        <w:spacing w:after="80" w:line="264" w:lineRule="auto"/>
      </w:pPr>
      <w:r>
        <w:t>A gyorselemzés tapasztalatai</w:t>
      </w:r>
      <w:r w:rsidR="0010701D">
        <w:t xml:space="preserve">, a </w:t>
      </w:r>
      <w:r>
        <w:t>további adat</w:t>
      </w:r>
      <w:r w:rsidR="0010701D">
        <w:t>o</w:t>
      </w:r>
      <w:r>
        <w:t>k alapján</w:t>
      </w:r>
      <w:r w:rsidR="0010701D">
        <w:t>,</w:t>
      </w:r>
      <w:r w:rsidR="00AC5066">
        <w:t xml:space="preserve"> illetve</w:t>
      </w:r>
      <w:r w:rsidR="0010701D">
        <w:t xml:space="preserve"> az észlelt valószínűsíthetően jogsértő kereskedelmi gyakorlatok miatt </w:t>
      </w:r>
      <w:r>
        <w:t xml:space="preserve">a </w:t>
      </w:r>
      <w:r w:rsidR="000A0A4B">
        <w:t xml:space="preserve">GVH </w:t>
      </w:r>
      <w:r w:rsidRPr="00220F15">
        <w:rPr>
          <w:b/>
          <w:bCs/>
        </w:rPr>
        <w:t xml:space="preserve">hat hazai </w:t>
      </w:r>
      <w:proofErr w:type="spellStart"/>
      <w:r w:rsidRPr="00220F15">
        <w:rPr>
          <w:b/>
          <w:bCs/>
        </w:rPr>
        <w:t>influenszer</w:t>
      </w:r>
      <w:r w:rsidR="0010701D" w:rsidRPr="00220F15">
        <w:rPr>
          <w:b/>
          <w:bCs/>
        </w:rPr>
        <w:t>t</w:t>
      </w:r>
      <w:proofErr w:type="spellEnd"/>
      <w:r w:rsidR="00220F15">
        <w:t xml:space="preserve"> </w:t>
      </w:r>
      <w:r w:rsidR="00220F15" w:rsidRPr="00220F15">
        <w:t xml:space="preserve">(Dancsó Péter – „Videómánia”; </w:t>
      </w:r>
      <w:proofErr w:type="spellStart"/>
      <w:r w:rsidR="00220F15" w:rsidRPr="00220F15">
        <w:t>Forstner</w:t>
      </w:r>
      <w:proofErr w:type="spellEnd"/>
      <w:r w:rsidR="00220F15" w:rsidRPr="00220F15">
        <w:t xml:space="preserve"> Csenge, </w:t>
      </w:r>
      <w:proofErr w:type="spellStart"/>
      <w:r w:rsidR="00220F15" w:rsidRPr="00220F15">
        <w:t>Fördős</w:t>
      </w:r>
      <w:proofErr w:type="spellEnd"/>
      <w:r w:rsidR="00220F15" w:rsidRPr="00220F15">
        <w:t xml:space="preserve"> Zoltán – „</w:t>
      </w:r>
      <w:proofErr w:type="spellStart"/>
      <w:r w:rsidR="00220F15" w:rsidRPr="00220F15">
        <w:t>Fördős</w:t>
      </w:r>
      <w:proofErr w:type="spellEnd"/>
      <w:r w:rsidR="00220F15" w:rsidRPr="00220F15">
        <w:t xml:space="preserve"> </w:t>
      </w:r>
      <w:proofErr w:type="spellStart"/>
      <w:r w:rsidR="00220F15" w:rsidRPr="00220F15">
        <w:t>Zé</w:t>
      </w:r>
      <w:proofErr w:type="spellEnd"/>
      <w:r w:rsidR="00220F15" w:rsidRPr="00220F15">
        <w:t xml:space="preserve">”, </w:t>
      </w:r>
      <w:proofErr w:type="spellStart"/>
      <w:r w:rsidR="00220F15" w:rsidRPr="00220F15">
        <w:t>Halmi</w:t>
      </w:r>
      <w:proofErr w:type="spellEnd"/>
      <w:r w:rsidR="00220F15" w:rsidRPr="00220F15">
        <w:t xml:space="preserve"> Bence, Kása Roland – „</w:t>
      </w:r>
      <w:proofErr w:type="spellStart"/>
      <w:r w:rsidR="00220F15" w:rsidRPr="00220F15">
        <w:t>Rolix</w:t>
      </w:r>
      <w:proofErr w:type="spellEnd"/>
      <w:r w:rsidR="00220F15" w:rsidRPr="00220F15">
        <w:t xml:space="preserve">”, </w:t>
      </w:r>
      <w:proofErr w:type="spellStart"/>
      <w:r w:rsidR="00220F15" w:rsidRPr="00220F15">
        <w:t>Strenner</w:t>
      </w:r>
      <w:proofErr w:type="spellEnd"/>
      <w:r w:rsidR="00220F15" w:rsidRPr="00220F15">
        <w:t xml:space="preserve"> Antal – „</w:t>
      </w:r>
      <w:proofErr w:type="spellStart"/>
      <w:r w:rsidR="00220F15" w:rsidRPr="00220F15">
        <w:t>Whisper</w:t>
      </w:r>
      <w:proofErr w:type="spellEnd"/>
      <w:r w:rsidR="00220F15" w:rsidRPr="00220F15">
        <w:t xml:space="preserve"> Ton”)</w:t>
      </w:r>
      <w:r w:rsidR="0010701D">
        <w:t xml:space="preserve"> érintően</w:t>
      </w:r>
      <w:r w:rsidR="00770DF5">
        <w:t xml:space="preserve"> </w:t>
      </w:r>
      <w:r>
        <w:t>indított versenyfelügyeleti eljárás</w:t>
      </w:r>
      <w:r w:rsidR="00AC5066">
        <w:t>okat</w:t>
      </w:r>
      <w:r w:rsidR="00FE1C56">
        <w:t>.</w:t>
      </w:r>
    </w:p>
    <w:p w14:paraId="0DA854A3" w14:textId="578D14AB" w:rsidR="0010701D" w:rsidRDefault="0088011E" w:rsidP="00AC5066">
      <w:pPr>
        <w:tabs>
          <w:tab w:val="left" w:pos="567"/>
        </w:tabs>
        <w:spacing w:after="80" w:line="264" w:lineRule="auto"/>
      </w:pPr>
      <w:r>
        <w:t xml:space="preserve">A </w:t>
      </w:r>
      <w:r w:rsidR="004B6118">
        <w:t>nemzeti versenyhatóság észlelte ugyanis</w:t>
      </w:r>
      <w:r>
        <w:t xml:space="preserve">, hogy </w:t>
      </w:r>
      <w:r w:rsidR="00BA4103">
        <w:t>a</w:t>
      </w:r>
      <w:r>
        <w:t xml:space="preserve"> véleményvezérek közösségi platformjain egyes reklámozó vállalkozások </w:t>
      </w:r>
      <w:r w:rsidR="0010701D">
        <w:t>termékeit</w:t>
      </w:r>
      <w:r>
        <w:t>, szolgáltatásait,</w:t>
      </w:r>
      <w:r w:rsidR="00BA4103">
        <w:t xml:space="preserve"> vagy</w:t>
      </w:r>
      <w:r>
        <w:t xml:space="preserve"> </w:t>
      </w:r>
      <w:r w:rsidR="00BA4103">
        <w:t>márkáit</w:t>
      </w:r>
      <w:r w:rsidR="0010701D">
        <w:t xml:space="preserve"> népszerűsítő tartalmak jelentek meg, amelyek</w:t>
      </w:r>
      <w:r w:rsidR="00BA4103">
        <w:t>ért cserébe a</w:t>
      </w:r>
      <w:r>
        <w:t xml:space="preserve"> </w:t>
      </w:r>
      <w:r w:rsidR="0010701D">
        <w:t>vállalkozás</w:t>
      </w:r>
      <w:r>
        <w:t>ok</w:t>
      </w:r>
      <w:r w:rsidR="0010701D">
        <w:t xml:space="preserve"> valószínűsíthetően ellenszolgáltatást nyújtott</w:t>
      </w:r>
      <w:r>
        <w:t>ak</w:t>
      </w:r>
      <w:r w:rsidR="0010701D">
        <w:t xml:space="preserve"> az ügynökségként eljáró vállalkozásnak és </w:t>
      </w:r>
      <w:r>
        <w:t xml:space="preserve">az </w:t>
      </w:r>
      <w:proofErr w:type="spellStart"/>
      <w:r>
        <w:t>influenszernek</w:t>
      </w:r>
      <w:proofErr w:type="spellEnd"/>
      <w:r>
        <w:t xml:space="preserve"> is</w:t>
      </w:r>
      <w:r w:rsidR="004B6118">
        <w:t>.</w:t>
      </w:r>
      <w:r>
        <w:t xml:space="preserve"> </w:t>
      </w:r>
      <w:r w:rsidR="004B6118">
        <w:t xml:space="preserve">Az ellenszolgáltatás ténye </w:t>
      </w:r>
      <w:r w:rsidR="009742F4">
        <w:t>azonban</w:t>
      </w:r>
      <w:r w:rsidR="0010701D">
        <w:t xml:space="preserve"> sem a vizsgált tartalmak képi világából, sem a videók során elhangzó információkból, sem a tartalm</w:t>
      </w:r>
      <w:r w:rsidR="00BA4103">
        <w:t>ak</w:t>
      </w:r>
      <w:r w:rsidR="0010701D">
        <w:t>hoz kapcsolt leírás</w:t>
      </w:r>
      <w:r w:rsidR="00BA4103">
        <w:t>ok</w:t>
      </w:r>
      <w:r w:rsidR="0010701D">
        <w:t>ból nem tűnik ki egyértelműen a fogyasztók számára.</w:t>
      </w:r>
    </w:p>
    <w:p w14:paraId="35A550B0" w14:textId="711B8D78" w:rsidR="00B501A1" w:rsidRDefault="00770DF5" w:rsidP="00220F15">
      <w:pPr>
        <w:spacing w:after="80" w:line="264" w:lineRule="auto"/>
      </w:pPr>
      <w:r w:rsidRPr="003D5AE7">
        <w:t xml:space="preserve">Az úgynevezett „érdek-elvű” felelősségből következően ugyanazon magatartásért több vállalkozás felelőssége megállapítható lehet. Ezért a GVH az </w:t>
      </w:r>
      <w:proofErr w:type="spellStart"/>
      <w:r w:rsidRPr="003D5AE7">
        <w:t>influenszerek</w:t>
      </w:r>
      <w:proofErr w:type="spellEnd"/>
      <w:r w:rsidRPr="003D5AE7">
        <w:t xml:space="preserve"> mellett –</w:t>
      </w:r>
      <w:r w:rsidR="0088519F" w:rsidRPr="003D5AE7">
        <w:t xml:space="preserve"> </w:t>
      </w:r>
      <w:r w:rsidR="002F463E" w:rsidRPr="003D5AE7">
        <w:t>valószínűsíthető közreműködői szerepükre tekintettel</w:t>
      </w:r>
      <w:r w:rsidR="005752C3" w:rsidRPr="003D5AE7">
        <w:t xml:space="preserve"> </w:t>
      </w:r>
      <w:r w:rsidR="002F463E" w:rsidRPr="00220F15">
        <w:rPr>
          <w:b/>
          <w:bCs/>
        </w:rPr>
        <w:t>reklámügynökségeket</w:t>
      </w:r>
      <w:r w:rsidRPr="003D5AE7">
        <w:t>, illetve több</w:t>
      </w:r>
      <w:r w:rsidR="0051229A" w:rsidRPr="003D5AE7">
        <w:t xml:space="preserve"> megrendelőt,</w:t>
      </w:r>
      <w:r w:rsidRPr="003D5AE7">
        <w:t xml:space="preserve"> érintett </w:t>
      </w:r>
      <w:r w:rsidRPr="00220F15">
        <w:rPr>
          <w:b/>
          <w:bCs/>
        </w:rPr>
        <w:t xml:space="preserve">hirdető </w:t>
      </w:r>
      <w:r w:rsidR="0051229A" w:rsidRPr="00220F15">
        <w:rPr>
          <w:b/>
          <w:bCs/>
        </w:rPr>
        <w:t>vállalkozást</w:t>
      </w:r>
      <w:r w:rsidR="0051229A" w:rsidRPr="003D5AE7">
        <w:t xml:space="preserve"> </w:t>
      </w:r>
      <w:r w:rsidRPr="003D5AE7">
        <w:t xml:space="preserve">is eljárás alá vont. </w:t>
      </w:r>
      <w:r w:rsidR="005752C3" w:rsidRPr="003D5AE7">
        <w:t xml:space="preserve">Utóbbiak közül hatékonysági szempontok alapján a legjellemzőbb, leggyakrabban hirdető és legnagyobb </w:t>
      </w:r>
      <w:proofErr w:type="spellStart"/>
      <w:r w:rsidR="005752C3" w:rsidRPr="003D5AE7">
        <w:t>árbevételű</w:t>
      </w:r>
      <w:proofErr w:type="spellEnd"/>
      <w:r w:rsidR="005752C3" w:rsidRPr="003D5AE7">
        <w:t xml:space="preserve"> cégek</w:t>
      </w:r>
      <w:r w:rsidR="003D5AE7">
        <w:t>et vonta be a vizsgálatba</w:t>
      </w:r>
      <w:r w:rsidR="005752C3" w:rsidRPr="003D5AE7">
        <w:t xml:space="preserve"> a versenyhatósá</w:t>
      </w:r>
      <w:r w:rsidR="005752C3">
        <w:t>g.</w:t>
      </w:r>
    </w:p>
    <w:p w14:paraId="791F5DED" w14:textId="425C3A88" w:rsidR="000A0A4B" w:rsidRDefault="00011AF6" w:rsidP="00AC5066">
      <w:pPr>
        <w:spacing w:after="80" w:line="264" w:lineRule="auto"/>
      </w:pPr>
      <w:r w:rsidRPr="00220F15">
        <w:rPr>
          <w:b/>
          <w:bCs/>
        </w:rPr>
        <w:t>A versenyfelügyeleti eljárás</w:t>
      </w:r>
      <w:r w:rsidR="0051229A" w:rsidRPr="00220F15">
        <w:rPr>
          <w:b/>
          <w:bCs/>
        </w:rPr>
        <w:t>ok</w:t>
      </w:r>
      <w:r w:rsidRPr="00220F15">
        <w:rPr>
          <w:b/>
          <w:bCs/>
        </w:rPr>
        <w:t xml:space="preserve"> megindítása nem jelenti annak kimondását, hogy a</w:t>
      </w:r>
      <w:r w:rsidR="0051229A" w:rsidRPr="00220F15">
        <w:rPr>
          <w:b/>
          <w:bCs/>
        </w:rPr>
        <w:t>z</w:t>
      </w:r>
      <w:r w:rsidR="005752C3" w:rsidRPr="00220F15">
        <w:rPr>
          <w:b/>
          <w:bCs/>
        </w:rPr>
        <w:t xml:space="preserve"> eljárásokban érintett</w:t>
      </w:r>
      <w:r w:rsidRPr="00220F15">
        <w:rPr>
          <w:b/>
          <w:bCs/>
        </w:rPr>
        <w:t xml:space="preserve"> </w:t>
      </w:r>
      <w:r w:rsidR="00B52FDE" w:rsidRPr="00220F15">
        <w:rPr>
          <w:b/>
          <w:bCs/>
        </w:rPr>
        <w:t xml:space="preserve">személyek, </w:t>
      </w:r>
      <w:r w:rsidRPr="00220F15">
        <w:rPr>
          <w:b/>
          <w:bCs/>
        </w:rPr>
        <w:t>vállalkozás</w:t>
      </w:r>
      <w:r w:rsidR="004946B0" w:rsidRPr="00220F15">
        <w:rPr>
          <w:b/>
          <w:bCs/>
        </w:rPr>
        <w:t>ok</w:t>
      </w:r>
      <w:r w:rsidRPr="00220F15">
        <w:rPr>
          <w:b/>
          <w:bCs/>
        </w:rPr>
        <w:t xml:space="preserve"> </w:t>
      </w:r>
      <w:r w:rsidR="003D5AE7" w:rsidRPr="00220F15">
        <w:rPr>
          <w:b/>
          <w:bCs/>
        </w:rPr>
        <w:t>jogsértést követtek el</w:t>
      </w:r>
      <w:r w:rsidRPr="00220F15">
        <w:rPr>
          <w:b/>
          <w:bCs/>
        </w:rPr>
        <w:t xml:space="preserve">. </w:t>
      </w:r>
      <w:r>
        <w:t>Az eljárás a tények</w:t>
      </w:r>
      <w:r w:rsidR="003D5AE7">
        <w:t xml:space="preserve"> és a felelősség</w:t>
      </w:r>
      <w:r>
        <w:t xml:space="preserve"> tisztázására és ezen keresztül a feltételezett jogsértés</w:t>
      </w:r>
      <w:r w:rsidR="0051229A">
        <w:t>(</w:t>
      </w:r>
      <w:proofErr w:type="spellStart"/>
      <w:r w:rsidR="0051229A">
        <w:t>ek</w:t>
      </w:r>
      <w:proofErr w:type="spellEnd"/>
      <w:r w:rsidR="0051229A">
        <w:t>)</w:t>
      </w:r>
      <w:r>
        <w:t xml:space="preserve"> bizonyítására irányul. Az eljárás</w:t>
      </w:r>
      <w:r w:rsidR="0051229A">
        <w:t>ok</w:t>
      </w:r>
      <w:r>
        <w:t xml:space="preserve"> lefolytatására biztosított időtartam három hónap, amely indokolt esetben két alkalommal, egyenként legfeljebb két hónappal meghosszabbítható.</w:t>
      </w:r>
    </w:p>
    <w:p w14:paraId="24CB3126" w14:textId="77777777" w:rsidR="00220F15" w:rsidRDefault="004946B0" w:rsidP="00AC5066">
      <w:pPr>
        <w:spacing w:after="80" w:line="264" w:lineRule="auto"/>
      </w:pPr>
      <w:r w:rsidRPr="00AC5066">
        <w:rPr>
          <w:b/>
          <w:bCs/>
        </w:rPr>
        <w:t xml:space="preserve">A GVH </w:t>
      </w:r>
      <w:r w:rsidR="00220F15">
        <w:rPr>
          <w:b/>
          <w:bCs/>
        </w:rPr>
        <w:t>a</w:t>
      </w:r>
      <w:r w:rsidR="00BB7564">
        <w:rPr>
          <w:b/>
          <w:bCs/>
        </w:rPr>
        <w:t xml:space="preserve"> tárgyban folytatott korábbi gyakorlata</w:t>
      </w:r>
      <w:r w:rsidRPr="00AC5066">
        <w:rPr>
          <w:b/>
          <w:bCs/>
        </w:rPr>
        <w:t xml:space="preserve"> kapcsán</w:t>
      </w:r>
      <w:r w:rsidR="000A0A4B" w:rsidRPr="00AC5066">
        <w:rPr>
          <w:b/>
          <w:bCs/>
        </w:rPr>
        <w:t xml:space="preserve"> </w:t>
      </w:r>
      <w:r w:rsidR="00BB7564">
        <w:rPr>
          <w:b/>
          <w:bCs/>
        </w:rPr>
        <w:t>ismételten</w:t>
      </w:r>
      <w:r w:rsidR="00BB7564" w:rsidRPr="00AC5066">
        <w:rPr>
          <w:b/>
          <w:bCs/>
        </w:rPr>
        <w:t xml:space="preserve"> </w:t>
      </w:r>
      <w:r w:rsidRPr="00AC5066">
        <w:rPr>
          <w:b/>
          <w:bCs/>
        </w:rPr>
        <w:t>felhívja a</w:t>
      </w:r>
      <w:r w:rsidR="00520FD2" w:rsidRPr="00AC5066">
        <w:rPr>
          <w:b/>
          <w:bCs/>
        </w:rPr>
        <w:t xml:space="preserve">z </w:t>
      </w:r>
      <w:proofErr w:type="spellStart"/>
      <w:r w:rsidR="00520FD2" w:rsidRPr="00AC5066">
        <w:rPr>
          <w:b/>
          <w:bCs/>
        </w:rPr>
        <w:t>influenszerek</w:t>
      </w:r>
      <w:proofErr w:type="spellEnd"/>
      <w:r w:rsidR="000A0A4B" w:rsidRPr="00AC5066">
        <w:rPr>
          <w:b/>
          <w:bCs/>
        </w:rPr>
        <w:t>, illetve az érintett ügynökségek</w:t>
      </w:r>
      <w:r w:rsidR="00520FD2" w:rsidRPr="00AC5066">
        <w:rPr>
          <w:b/>
          <w:bCs/>
        </w:rPr>
        <w:t xml:space="preserve"> </w:t>
      </w:r>
      <w:r w:rsidR="0088011E" w:rsidRPr="00AC5066">
        <w:rPr>
          <w:b/>
          <w:bCs/>
        </w:rPr>
        <w:t xml:space="preserve">és a hirdetők </w:t>
      </w:r>
      <w:r w:rsidR="00520FD2" w:rsidRPr="00AC5066">
        <w:rPr>
          <w:b/>
          <w:bCs/>
        </w:rPr>
        <w:t>figyelmét</w:t>
      </w:r>
      <w:r w:rsidR="00520FD2">
        <w:t xml:space="preserve"> </w:t>
      </w:r>
      <w:r w:rsidR="0088011E">
        <w:t xml:space="preserve">is </w:t>
      </w:r>
      <w:r w:rsidR="00520FD2">
        <w:t>a jogkövető magatartás fontosságára, többek között a fizetett, promóciós tartalmak reklámjellegének való feltüntetés</w:t>
      </w:r>
      <w:r w:rsidR="0088011E">
        <w:t>ér</w:t>
      </w:r>
      <w:r w:rsidR="00520FD2">
        <w:t xml:space="preserve">e. </w:t>
      </w:r>
    </w:p>
    <w:p w14:paraId="543AEC94" w14:textId="28461CCA" w:rsidR="004946B0" w:rsidRDefault="00520FD2" w:rsidP="00AC5066">
      <w:pPr>
        <w:spacing w:after="80" w:line="264" w:lineRule="auto"/>
      </w:pPr>
      <w:r w:rsidRPr="00F629C0">
        <w:lastRenderedPageBreak/>
        <w:t xml:space="preserve">A tartalmak </w:t>
      </w:r>
      <w:proofErr w:type="spellStart"/>
      <w:r w:rsidRPr="00F629C0">
        <w:t>közzétevőinek</w:t>
      </w:r>
      <w:proofErr w:type="spellEnd"/>
      <w:r w:rsidRPr="00F629C0">
        <w:t xml:space="preserve"> </w:t>
      </w:r>
      <w:r w:rsidR="00F629C0" w:rsidRPr="00F629C0">
        <w:t>többek között</w:t>
      </w:r>
      <w:r w:rsidR="00F629C0">
        <w:rPr>
          <w:b/>
          <w:bCs/>
        </w:rPr>
        <w:t xml:space="preserve"> </w:t>
      </w:r>
      <w:r w:rsidRPr="00F629C0">
        <w:rPr>
          <w:b/>
          <w:bCs/>
        </w:rPr>
        <w:t xml:space="preserve">jól észlelhetően, hangsúlyosan, </w:t>
      </w:r>
      <w:proofErr w:type="spellStart"/>
      <w:r w:rsidRPr="00F629C0">
        <w:rPr>
          <w:b/>
          <w:bCs/>
        </w:rPr>
        <w:t>szembetűnően</w:t>
      </w:r>
      <w:proofErr w:type="spellEnd"/>
      <w:r w:rsidRPr="00F629C0">
        <w:rPr>
          <w:b/>
          <w:bCs/>
        </w:rPr>
        <w:t xml:space="preserve">, egyszerűen, egyértelműen és közérthetően </w:t>
      </w:r>
      <w:r w:rsidRPr="00F629C0">
        <w:t xml:space="preserve">szükséges feltüntetniük, hogy a </w:t>
      </w:r>
      <w:r w:rsidRPr="000A0A4B">
        <w:t>közzétett tartalomért ellenszolgáltatásban részesültek</w:t>
      </w:r>
      <w:r w:rsidRPr="00F629C0">
        <w:t xml:space="preserve">. </w:t>
      </w:r>
      <w:r w:rsidR="00476F19">
        <w:t xml:space="preserve">Ezt megtehetik a platform által felajánlott címkézési lehetőséggel vagy (címkézés helyett) a </w:t>
      </w:r>
      <w:r w:rsidR="00476F19" w:rsidRPr="007E7BCA">
        <w:rPr>
          <w:rFonts w:eastAsia="CIDFont+F7"/>
        </w:rPr>
        <w:t>szöveg</w:t>
      </w:r>
      <w:r w:rsidR="00476F19">
        <w:rPr>
          <w:rFonts w:eastAsia="CIDFont+F7"/>
        </w:rPr>
        <w:t>es leírásban</w:t>
      </w:r>
      <w:r w:rsidR="00476F19" w:rsidRPr="007E7BCA">
        <w:rPr>
          <w:rFonts w:eastAsia="CIDFont+F7"/>
        </w:rPr>
        <w:t>, a szöveg elején</w:t>
      </w:r>
      <w:r w:rsidR="00476F19">
        <w:t xml:space="preserve"> feltüntetett magyar nyelvű utalással. </w:t>
      </w:r>
      <w:r>
        <w:t>Fontos, hogy ezen</w:t>
      </w:r>
      <w:r w:rsidRPr="00520FD2">
        <w:t xml:space="preserve"> szabályok alkalmazandók abban az esetben is, ha a véleményvezér az egyes megjelenésekben </w:t>
      </w:r>
      <w:r w:rsidRPr="00F629C0">
        <w:rPr>
          <w:b/>
          <w:bCs/>
        </w:rPr>
        <w:t>saját vállalkozását, saját termékeit vagy szolgáltatásait népszerűsíti.</w:t>
      </w:r>
    </w:p>
    <w:p w14:paraId="28E710D6" w14:textId="1C6DD1C0" w:rsidR="00520FD2" w:rsidRPr="00F70719" w:rsidRDefault="00520FD2" w:rsidP="00AC5066">
      <w:pPr>
        <w:spacing w:after="80" w:line="264" w:lineRule="auto"/>
      </w:pPr>
      <w:r w:rsidRPr="00AC5066">
        <w:rPr>
          <w:b/>
          <w:bCs/>
        </w:rPr>
        <w:t xml:space="preserve">A GVH az elmúlt években </w:t>
      </w:r>
      <w:r w:rsidR="000A0A4B" w:rsidRPr="00AC5066">
        <w:rPr>
          <w:b/>
          <w:bCs/>
        </w:rPr>
        <w:t>nagy hangsúlyt helyezett</w:t>
      </w:r>
      <w:r w:rsidRPr="00AC5066">
        <w:rPr>
          <w:b/>
          <w:bCs/>
        </w:rPr>
        <w:t xml:space="preserve"> arra, hogy naprakész gyakorlati tanácsokkal segítse a piaci szereplőket jogkövető magatartásuk kialakításában.</w:t>
      </w:r>
      <w:r>
        <w:t xml:space="preserve"> Ezzel összefüggésben a nemzeti versenyhatóság a véleményvezérek figyelmébe ajánlja a </w:t>
      </w:r>
      <w:r w:rsidR="00991B2E">
        <w:t xml:space="preserve">2022 végén frissített </w:t>
      </w:r>
      <w:hyperlink r:id="rId9" w:history="1">
        <w:r w:rsidR="00991B2E">
          <w:rPr>
            <w:rStyle w:val="Hiperhivatkozs"/>
            <w:rFonts w:eastAsiaTheme="majorEastAsia"/>
          </w:rPr>
          <w:t>influenszer marketing tájékoztatóját</w:t>
        </w:r>
      </w:hyperlink>
      <w:r w:rsidR="00991B2E">
        <w:t>, amely gyakorlat-központúan, pozitív és negatív példák szemléltetésével mutatja be, miként lehet jogszerűen eleget tenni a fogyasztók tájékoztatását biztosító elvárásoknak.</w:t>
      </w:r>
    </w:p>
    <w:p w14:paraId="71954FAB" w14:textId="24538EB4" w:rsidR="00772367" w:rsidRDefault="00991B2E" w:rsidP="00AC5066">
      <w:pPr>
        <w:spacing w:after="80" w:line="264" w:lineRule="auto"/>
      </w:pPr>
      <w:r w:rsidRPr="00991B2E">
        <w:t xml:space="preserve">A </w:t>
      </w:r>
      <w:hyperlink r:id="rId10" w:history="1">
        <w:r w:rsidRPr="00991B2E">
          <w:rPr>
            <w:rStyle w:val="Hiperhivatkozs"/>
          </w:rPr>
          <w:t>GVH Podcast csatornáján</w:t>
        </w:r>
      </w:hyperlink>
      <w:r w:rsidRPr="00991B2E">
        <w:t xml:space="preserve"> elérhető </w:t>
      </w:r>
      <w:hyperlink r:id="rId11" w:history="1">
        <w:r w:rsidRPr="009A4D99">
          <w:rPr>
            <w:rStyle w:val="Hiperhivatkozs"/>
          </w:rPr>
          <w:t>beszélgetésben</w:t>
        </w:r>
      </w:hyperlink>
      <w:r w:rsidRPr="00991B2E">
        <w:t xml:space="preserve"> is hasznos tanácsokat kapnak a vállalkozások és véleményvezérek hogyan tudnak jogszerűen reklámozni a közösségi média felületeken. A </w:t>
      </w:r>
      <w:hyperlink r:id="rId12" w:history="1">
        <w:r w:rsidR="009A4D99" w:rsidRPr="009A4D99">
          <w:rPr>
            <w:rStyle w:val="Hiperhivatkozs"/>
          </w:rPr>
          <w:t>második részben</w:t>
        </w:r>
      </w:hyperlink>
      <w:r w:rsidR="009A4D99">
        <w:t xml:space="preserve"> </w:t>
      </w:r>
      <w:r w:rsidRPr="00991B2E">
        <w:t xml:space="preserve">szó esik az </w:t>
      </w:r>
      <w:proofErr w:type="spellStart"/>
      <w:r w:rsidRPr="00991B2E">
        <w:t>influenszerek</w:t>
      </w:r>
      <w:proofErr w:type="spellEnd"/>
      <w:r w:rsidRPr="00991B2E">
        <w:t xml:space="preserve"> reklámtevékenységével kapcsolatban lefolytatott versenyfelügyeleti eljárások tapasztalatairól és a felelősségi kérdésekről, valamint szóba kerülnek azok a speciális ágazatok is, ahol egyáltalán nem megengedett az influenszer reklámozás.</w:t>
      </w:r>
      <w:r w:rsidR="009742F4">
        <w:t xml:space="preserve"> A GVH 2024 elején </w:t>
      </w:r>
      <w:hyperlink r:id="rId13" w:history="1">
        <w:r w:rsidR="009742F4" w:rsidRPr="009742F4">
          <w:rPr>
            <w:rStyle w:val="Hiperhivatkozs"/>
          </w:rPr>
          <w:t>szakmai workshopot</w:t>
        </w:r>
        <w:r w:rsidR="00AC5066">
          <w:rPr>
            <w:rStyle w:val="Hiperhivatkozs"/>
          </w:rPr>
          <w:t xml:space="preserve"> is</w:t>
        </w:r>
        <w:r w:rsidR="009742F4" w:rsidRPr="009742F4">
          <w:rPr>
            <w:rStyle w:val="Hiperhivatkozs"/>
          </w:rPr>
          <w:t xml:space="preserve"> szervezett</w:t>
        </w:r>
      </w:hyperlink>
      <w:r w:rsidR="009742F4">
        <w:t xml:space="preserve"> a fogyasztóvédelmi felelősség legaktuálisabb kérdéseinek megvitatására. </w:t>
      </w:r>
    </w:p>
    <w:p w14:paraId="5E137473" w14:textId="34965C31" w:rsidR="00A1010A" w:rsidRDefault="000A0A4B" w:rsidP="00AC5066">
      <w:pPr>
        <w:tabs>
          <w:tab w:val="left" w:pos="567"/>
        </w:tabs>
        <w:spacing w:after="80" w:line="264" w:lineRule="auto"/>
      </w:pPr>
      <w:r w:rsidRPr="009A4D99">
        <w:t>A versenyhatóság</w:t>
      </w:r>
      <w:r>
        <w:t xml:space="preserve"> mindemellett az elmúlt években</w:t>
      </w:r>
      <w:r w:rsidRPr="009A4D99">
        <w:t xml:space="preserve"> több olyan ügyet is lezárt, amelyekben érintettek voltak influen</w:t>
      </w:r>
      <w:r>
        <w:t>sz</w:t>
      </w:r>
      <w:r w:rsidRPr="009A4D99">
        <w:t xml:space="preserve">er ügynökségek, illetve egyéni vállalkozó véleményvezérek is. Burkolt reklámozás miatt kapott bírságot </w:t>
      </w:r>
      <w:hyperlink r:id="rId14" w:history="1">
        <w:proofErr w:type="spellStart"/>
        <w:r w:rsidRPr="009A4D99">
          <w:rPr>
            <w:rStyle w:val="Hiperhivatkozs"/>
          </w:rPr>
          <w:t>Berki</w:t>
        </w:r>
        <w:proofErr w:type="spellEnd"/>
        <w:r w:rsidRPr="009A4D99">
          <w:rPr>
            <w:rStyle w:val="Hiperhivatkozs"/>
          </w:rPr>
          <w:t xml:space="preserve"> Renáta</w:t>
        </w:r>
      </w:hyperlink>
      <w:r w:rsidRPr="009A4D99">
        <w:t xml:space="preserve">, </w:t>
      </w:r>
      <w:r w:rsidR="0051229A">
        <w:t>és a</w:t>
      </w:r>
      <w:r w:rsidRPr="009A4D99">
        <w:t xml:space="preserve"> </w:t>
      </w:r>
      <w:hyperlink r:id="rId15" w:history="1">
        <w:proofErr w:type="spellStart"/>
        <w:r w:rsidRPr="009A4D99">
          <w:rPr>
            <w:rStyle w:val="Hiperhivatkozs"/>
          </w:rPr>
          <w:t>Brightwhite</w:t>
        </w:r>
        <w:proofErr w:type="spellEnd"/>
        <w:r w:rsidRPr="009A4D99">
          <w:rPr>
            <w:rStyle w:val="Hiperhivatkozs"/>
          </w:rPr>
          <w:t xml:space="preserve"> fogfehérítő</w:t>
        </w:r>
      </w:hyperlink>
      <w:r w:rsidRPr="009A4D99">
        <w:t xml:space="preserve"> forgalmazója, valamint a </w:t>
      </w:r>
      <w:hyperlink r:id="rId16" w:history="1">
        <w:r w:rsidRPr="009A4D99">
          <w:rPr>
            <w:rStyle w:val="Hiperhivatkozs"/>
          </w:rPr>
          <w:t>Bongó</w:t>
        </w:r>
      </w:hyperlink>
      <w:r w:rsidRPr="009A4D99">
        <w:t xml:space="preserve"> nevű, gyerekeknek szóló játék üzemeltetője is.</w:t>
      </w:r>
      <w:r>
        <w:t xml:space="preserve"> </w:t>
      </w:r>
      <w:r w:rsidRPr="009A4D99">
        <w:t>Kiderült továbbá, hogy egy </w:t>
      </w:r>
      <w:hyperlink r:id="rId17" w:history="1">
        <w:r w:rsidRPr="009A4D99">
          <w:rPr>
            <w:rStyle w:val="Hiperhivatkozs"/>
          </w:rPr>
          <w:t>sportfogadás-tanácsadó</w:t>
        </w:r>
      </w:hyperlink>
      <w:r w:rsidRPr="009A4D99">
        <w:t xml:space="preserve"> oldal, valamint egy </w:t>
      </w:r>
      <w:hyperlink r:id="rId18" w:history="1">
        <w:r w:rsidRPr="009A4D99">
          <w:rPr>
            <w:rStyle w:val="Hiperhivatkozs"/>
          </w:rPr>
          <w:t>fogyasztószer-kereskedő</w:t>
        </w:r>
      </w:hyperlink>
      <w:r w:rsidRPr="009A4D99">
        <w:t xml:space="preserve"> is </w:t>
      </w:r>
      <w:proofErr w:type="spellStart"/>
      <w:r w:rsidRPr="009A4D99">
        <w:t>influen</w:t>
      </w:r>
      <w:r>
        <w:t>sz</w:t>
      </w:r>
      <w:r w:rsidRPr="009A4D99">
        <w:t>erek</w:t>
      </w:r>
      <w:proofErr w:type="spellEnd"/>
      <w:r w:rsidRPr="009A4D99">
        <w:t xml:space="preserve"> közreműködésével tévesztette meg a fogyasztókat</w:t>
      </w:r>
      <w:r w:rsidR="0051229A">
        <w:t>.</w:t>
      </w:r>
    </w:p>
    <w:p w14:paraId="38BA816D" w14:textId="1C473BFB" w:rsidR="00F70719" w:rsidRPr="00A1010A" w:rsidRDefault="00361831" w:rsidP="00AC5066">
      <w:pPr>
        <w:spacing w:after="80" w:line="264" w:lineRule="auto"/>
      </w:pPr>
      <w:r w:rsidRPr="002B7232">
        <w:t>Az ügy</w:t>
      </w:r>
      <w:r w:rsidR="00A1010A">
        <w:t>ek</w:t>
      </w:r>
      <w:r w:rsidRPr="002B7232">
        <w:t xml:space="preserve"> hivatali nyilvántartási száma</w:t>
      </w:r>
      <w:r w:rsidR="00A1010A">
        <w:t>i</w:t>
      </w:r>
      <w:r w:rsidRPr="002B7232">
        <w:t xml:space="preserve">: </w:t>
      </w:r>
      <w:bookmarkEnd w:id="2"/>
      <w:r w:rsidR="00995032">
        <w:rPr>
          <w:b/>
          <w:bCs/>
        </w:rPr>
        <w:t>VJ/14/2024., VJ/15/2024., VJ/16/2024., VJ/17/2024., VJ/18/2024., VJ/19/2024.</w:t>
      </w:r>
    </w:p>
    <w:p w14:paraId="46B5F357" w14:textId="0E0D6BF1" w:rsidR="00361831" w:rsidRPr="0051229A" w:rsidRDefault="00361831" w:rsidP="0051229A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33F2BC17" w:rsidR="002A426E" w:rsidRDefault="00361831" w:rsidP="0051229A">
      <w:pPr>
        <w:spacing w:after="0"/>
      </w:pPr>
      <w:r>
        <w:t>Gondolovics Katalin, sajtószóvivő +36 30 603 1170</w:t>
      </w:r>
    </w:p>
    <w:sectPr w:rsidR="002A426E" w:rsidSect="00B501A1">
      <w:footerReference w:type="default" r:id="rId19"/>
      <w:headerReference w:type="first" r:id="rId20"/>
      <w:footerReference w:type="first" r:id="rId21"/>
      <w:pgSz w:w="11906" w:h="16838"/>
      <w:pgMar w:top="284" w:right="567" w:bottom="454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BECA" w14:textId="77777777" w:rsidR="007B0977" w:rsidRDefault="007B0977">
      <w:pPr>
        <w:spacing w:after="0" w:line="240" w:lineRule="auto"/>
      </w:pPr>
      <w:r>
        <w:separator/>
      </w:r>
    </w:p>
  </w:endnote>
  <w:endnote w:type="continuationSeparator" w:id="0">
    <w:p w14:paraId="5E0964C5" w14:textId="77777777" w:rsidR="007B0977" w:rsidRDefault="007B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6F7292C5" w:rsidR="007B4248" w:rsidRDefault="00736F52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B4248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7708" w14:textId="77777777" w:rsidR="007B0977" w:rsidRDefault="007B0977">
      <w:pPr>
        <w:spacing w:after="0" w:line="240" w:lineRule="auto"/>
      </w:pPr>
      <w:r>
        <w:separator/>
      </w:r>
    </w:p>
  </w:footnote>
  <w:footnote w:type="continuationSeparator" w:id="0">
    <w:p w14:paraId="4AFB7937" w14:textId="77777777" w:rsidR="007B0977" w:rsidRDefault="007B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B4248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085"/>
    <w:multiLevelType w:val="hybridMultilevel"/>
    <w:tmpl w:val="2C32FDB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0F5D1C17"/>
    <w:multiLevelType w:val="hybridMultilevel"/>
    <w:tmpl w:val="F66E6806"/>
    <w:lvl w:ilvl="0" w:tplc="040E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164B69EA"/>
    <w:multiLevelType w:val="hybridMultilevel"/>
    <w:tmpl w:val="E44E149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1A166487"/>
    <w:multiLevelType w:val="hybridMultilevel"/>
    <w:tmpl w:val="B546D49E"/>
    <w:lvl w:ilvl="0" w:tplc="040E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5B1338D6"/>
    <w:multiLevelType w:val="hybridMultilevel"/>
    <w:tmpl w:val="36884690"/>
    <w:lvl w:ilvl="0" w:tplc="040E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745D6917"/>
    <w:multiLevelType w:val="hybridMultilevel"/>
    <w:tmpl w:val="5252912C"/>
    <w:lvl w:ilvl="0" w:tplc="18747740"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7"/>
  </w:num>
  <w:num w:numId="2" w16cid:durableId="977345090">
    <w:abstractNumId w:val="8"/>
  </w:num>
  <w:num w:numId="3" w16cid:durableId="551044178">
    <w:abstractNumId w:val="4"/>
  </w:num>
  <w:num w:numId="4" w16cid:durableId="1402287250">
    <w:abstractNumId w:val="6"/>
  </w:num>
  <w:num w:numId="5" w16cid:durableId="266348883">
    <w:abstractNumId w:val="1"/>
  </w:num>
  <w:num w:numId="6" w16cid:durableId="1271668133">
    <w:abstractNumId w:val="0"/>
  </w:num>
  <w:num w:numId="7" w16cid:durableId="1787507698">
    <w:abstractNumId w:val="3"/>
  </w:num>
  <w:num w:numId="8" w16cid:durableId="218594736">
    <w:abstractNumId w:val="2"/>
  </w:num>
  <w:num w:numId="9" w16cid:durableId="921138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6358B"/>
    <w:rsid w:val="00074B19"/>
    <w:rsid w:val="00074E8E"/>
    <w:rsid w:val="000A0A4B"/>
    <w:rsid w:val="000C250A"/>
    <w:rsid w:val="0010701D"/>
    <w:rsid w:val="00137704"/>
    <w:rsid w:val="001603D4"/>
    <w:rsid w:val="00166C7F"/>
    <w:rsid w:val="001A45E8"/>
    <w:rsid w:val="001E6EF0"/>
    <w:rsid w:val="00202D48"/>
    <w:rsid w:val="00206DF4"/>
    <w:rsid w:val="00220F15"/>
    <w:rsid w:val="002574F3"/>
    <w:rsid w:val="002A0E05"/>
    <w:rsid w:val="002A426E"/>
    <w:rsid w:val="002B5D64"/>
    <w:rsid w:val="002D3134"/>
    <w:rsid w:val="002D7A9E"/>
    <w:rsid w:val="002F463E"/>
    <w:rsid w:val="00356A4F"/>
    <w:rsid w:val="00361831"/>
    <w:rsid w:val="003807C0"/>
    <w:rsid w:val="00385749"/>
    <w:rsid w:val="0038706A"/>
    <w:rsid w:val="00395481"/>
    <w:rsid w:val="003A3BFD"/>
    <w:rsid w:val="003C51E4"/>
    <w:rsid w:val="003D3C6B"/>
    <w:rsid w:val="003D5AE7"/>
    <w:rsid w:val="003E675C"/>
    <w:rsid w:val="003E753F"/>
    <w:rsid w:val="00422C2A"/>
    <w:rsid w:val="00422C70"/>
    <w:rsid w:val="00424B8A"/>
    <w:rsid w:val="00430D05"/>
    <w:rsid w:val="00476F19"/>
    <w:rsid w:val="00491BFC"/>
    <w:rsid w:val="00491DC8"/>
    <w:rsid w:val="004946B0"/>
    <w:rsid w:val="004B6118"/>
    <w:rsid w:val="004E13FE"/>
    <w:rsid w:val="004E3CF2"/>
    <w:rsid w:val="004F164F"/>
    <w:rsid w:val="0051229A"/>
    <w:rsid w:val="00520FD2"/>
    <w:rsid w:val="00545903"/>
    <w:rsid w:val="005566B7"/>
    <w:rsid w:val="0056294B"/>
    <w:rsid w:val="005752C3"/>
    <w:rsid w:val="005A384B"/>
    <w:rsid w:val="005A4856"/>
    <w:rsid w:val="005B31C0"/>
    <w:rsid w:val="005C574F"/>
    <w:rsid w:val="005E13E7"/>
    <w:rsid w:val="005E7373"/>
    <w:rsid w:val="00612D35"/>
    <w:rsid w:val="00626E97"/>
    <w:rsid w:val="00662D35"/>
    <w:rsid w:val="006A4F2E"/>
    <w:rsid w:val="006C7CBD"/>
    <w:rsid w:val="006F5CD2"/>
    <w:rsid w:val="0072038E"/>
    <w:rsid w:val="00721F53"/>
    <w:rsid w:val="00736F52"/>
    <w:rsid w:val="007434D4"/>
    <w:rsid w:val="007477D8"/>
    <w:rsid w:val="00770DF5"/>
    <w:rsid w:val="00772367"/>
    <w:rsid w:val="007B0977"/>
    <w:rsid w:val="007D53B9"/>
    <w:rsid w:val="007E7FE3"/>
    <w:rsid w:val="008302EE"/>
    <w:rsid w:val="00835934"/>
    <w:rsid w:val="0087723A"/>
    <w:rsid w:val="0088011E"/>
    <w:rsid w:val="0088519F"/>
    <w:rsid w:val="008927DB"/>
    <w:rsid w:val="008C44CC"/>
    <w:rsid w:val="008C451A"/>
    <w:rsid w:val="008F43F8"/>
    <w:rsid w:val="00904062"/>
    <w:rsid w:val="00905BBD"/>
    <w:rsid w:val="00911FC3"/>
    <w:rsid w:val="00912F79"/>
    <w:rsid w:val="00925F46"/>
    <w:rsid w:val="00933AD1"/>
    <w:rsid w:val="009379D0"/>
    <w:rsid w:val="009742F4"/>
    <w:rsid w:val="00991A1E"/>
    <w:rsid w:val="00991B2E"/>
    <w:rsid w:val="00995032"/>
    <w:rsid w:val="009A4D99"/>
    <w:rsid w:val="009A512B"/>
    <w:rsid w:val="009B794A"/>
    <w:rsid w:val="009C2511"/>
    <w:rsid w:val="009E6552"/>
    <w:rsid w:val="00A1010A"/>
    <w:rsid w:val="00A23ED6"/>
    <w:rsid w:val="00A2530F"/>
    <w:rsid w:val="00A31E20"/>
    <w:rsid w:val="00A577FC"/>
    <w:rsid w:val="00A715B2"/>
    <w:rsid w:val="00A756A6"/>
    <w:rsid w:val="00A85C56"/>
    <w:rsid w:val="00A96E66"/>
    <w:rsid w:val="00AA0666"/>
    <w:rsid w:val="00AC5066"/>
    <w:rsid w:val="00AF1A47"/>
    <w:rsid w:val="00B04CF9"/>
    <w:rsid w:val="00B43BC7"/>
    <w:rsid w:val="00B501A1"/>
    <w:rsid w:val="00B52FDE"/>
    <w:rsid w:val="00B6413F"/>
    <w:rsid w:val="00B708C6"/>
    <w:rsid w:val="00BA121E"/>
    <w:rsid w:val="00BA4103"/>
    <w:rsid w:val="00BA45A6"/>
    <w:rsid w:val="00BB7564"/>
    <w:rsid w:val="00BC4099"/>
    <w:rsid w:val="00C4538B"/>
    <w:rsid w:val="00C52A3B"/>
    <w:rsid w:val="00C87708"/>
    <w:rsid w:val="00C9083F"/>
    <w:rsid w:val="00CA2EBA"/>
    <w:rsid w:val="00CD56C9"/>
    <w:rsid w:val="00CD63D8"/>
    <w:rsid w:val="00CF2DA9"/>
    <w:rsid w:val="00CF627F"/>
    <w:rsid w:val="00D213C7"/>
    <w:rsid w:val="00D31443"/>
    <w:rsid w:val="00D361F1"/>
    <w:rsid w:val="00D43503"/>
    <w:rsid w:val="00DB780D"/>
    <w:rsid w:val="00DE2921"/>
    <w:rsid w:val="00E45607"/>
    <w:rsid w:val="00E644CF"/>
    <w:rsid w:val="00E665BD"/>
    <w:rsid w:val="00E761EB"/>
    <w:rsid w:val="00E9146A"/>
    <w:rsid w:val="00EC4637"/>
    <w:rsid w:val="00EE0B58"/>
    <w:rsid w:val="00EF29E5"/>
    <w:rsid w:val="00F13997"/>
    <w:rsid w:val="00F22CD6"/>
    <w:rsid w:val="00F261FE"/>
    <w:rsid w:val="00F55FD2"/>
    <w:rsid w:val="00F629C0"/>
    <w:rsid w:val="00F70719"/>
    <w:rsid w:val="00F82C6C"/>
    <w:rsid w:val="00F922F9"/>
    <w:rsid w:val="00FE0723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A4D99"/>
  </w:style>
  <w:style w:type="paragraph" w:styleId="lfej">
    <w:name w:val="header"/>
    <w:basedOn w:val="Norml"/>
    <w:link w:val="lfejChar"/>
    <w:uiPriority w:val="99"/>
    <w:unhideWhenUsed/>
    <w:rsid w:val="0051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229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1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229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4-es-sajtokozlemenyek/zurzavar--europa-szerte-jokora-kaosz-van-az-influenszerek-reklamozasaban" TargetMode="External"/><Relationship Id="rId13" Type="http://schemas.openxmlformats.org/officeDocument/2006/relationships/hyperlink" Target="https://gvh.hu/sajtoszoba/sajtokozlemenyek/2024-es-sajtokozlemenyek/a-fogyasztovedelmi-felelossegrol-szervezett-online-workshopot-a-gvh" TargetMode="External"/><Relationship Id="rId18" Type="http://schemas.openxmlformats.org/officeDocument/2006/relationships/hyperlink" Target="https://www.gvh.hu/sajtoszoba/sajtokozlemenyek/2022-es-sajtokozlemenyek/fogyasztoszer-kereskedot-es-reklamugynokseget-buntetett-a-gvh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KZBL5YSNmU" TargetMode="External"/><Relationship Id="rId17" Type="http://schemas.openxmlformats.org/officeDocument/2006/relationships/hyperlink" Target="https://gvh.hu/sajtoszoba/sajtokozlemenyek/2023-as-sajtokozlemenyek/itt-egy-hasznos-tipp-a-gvh-tol-nincs-extra-biztonsagos-sportfogad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vh.hu/sajtoszoba/sajtokozlemenyek/2021-es-sajtokozlemenyek/350-millios-versenyhivatali-birsag-a-gyermekeket-celzo-emelt-dijas-sms-szolgaltatas-miat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1aqqyRN7DQ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2-es-sajtokozlemenyek/jogsertonek-bizonyultak-a-brightwhite-fogfeherito-reklamja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vh.hu/sajtoszoba/gvh-podcas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vh.hu/pfile/file?path=/szakmai_felhasznaloknak/tajekoztatok/Tajekoztato_az_influenszer_marketingrol.pdf1&amp;inline=true" TargetMode="External"/><Relationship Id="rId14" Type="http://schemas.openxmlformats.org/officeDocument/2006/relationships/hyperlink" Target="https://www.gvh.hu/sajtoszoba/sajtokozlemenyek/2020-as-sajtokozlemenyek/jeloletlen-influenszer-reklamokert-birsagolt-a-versenyhivata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976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5</cp:revision>
  <dcterms:created xsi:type="dcterms:W3CDTF">2024-05-20T15:04:00Z</dcterms:created>
  <dcterms:modified xsi:type="dcterms:W3CDTF">2024-05-21T10:23:00Z</dcterms:modified>
</cp:coreProperties>
</file>