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EE51" w14:textId="285C1F5F" w:rsidR="004F164F" w:rsidRPr="00A31E20" w:rsidRDefault="00492528" w:rsidP="00F34BDB">
      <w:pPr>
        <w:tabs>
          <w:tab w:val="left" w:pos="567"/>
        </w:tabs>
        <w:spacing w:after="100" w:line="264" w:lineRule="auto"/>
        <w:ind w:left="1474" w:hanging="567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>Változtatott gyakorlatán a pohárvisszaváltó cég, figyelmeztette a GVH</w:t>
      </w:r>
    </w:p>
    <w:bookmarkEnd w:id="0"/>
    <w:p w14:paraId="375AE687" w14:textId="13C61E65" w:rsidR="00492528" w:rsidRDefault="00361831" w:rsidP="002C2941">
      <w:pPr>
        <w:tabs>
          <w:tab w:val="left" w:pos="567"/>
        </w:tabs>
        <w:spacing w:after="100" w:line="264" w:lineRule="auto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422C2A">
        <w:rPr>
          <w:b/>
        </w:rPr>
        <w:t>április</w:t>
      </w:r>
      <w:r w:rsidR="002B438F">
        <w:rPr>
          <w:b/>
        </w:rPr>
        <w:t xml:space="preserve"> 2</w:t>
      </w:r>
      <w:r w:rsidR="00443FF7">
        <w:rPr>
          <w:b/>
        </w:rPr>
        <w:t>4</w:t>
      </w:r>
      <w:r w:rsidR="002B438F">
        <w:rPr>
          <w:b/>
        </w:rPr>
        <w:t>.</w:t>
      </w:r>
      <w:r w:rsidRPr="00257907">
        <w:rPr>
          <w:b/>
        </w:rPr>
        <w:t xml:space="preserve"> –</w:t>
      </w:r>
      <w:bookmarkEnd w:id="1"/>
      <w:r w:rsidR="009A512B" w:rsidRPr="00257907">
        <w:rPr>
          <w:b/>
        </w:rPr>
        <w:t xml:space="preserve"> </w:t>
      </w:r>
      <w:r w:rsidR="00492528">
        <w:rPr>
          <w:b/>
        </w:rPr>
        <w:t xml:space="preserve">Számos ponton módosította a kereskedelmi gyakorlatát a </w:t>
      </w:r>
      <w:r w:rsidR="00492528" w:rsidRPr="00492528">
        <w:rPr>
          <w:b/>
        </w:rPr>
        <w:t>Cup Revolutio</w:t>
      </w:r>
      <w:r w:rsidR="00A00DA4">
        <w:rPr>
          <w:b/>
        </w:rPr>
        <w:t>n</w:t>
      </w:r>
      <w:r w:rsidR="0059169D">
        <w:rPr>
          <w:b/>
        </w:rPr>
        <w:t xml:space="preserve"> a versenyfelügyeleti eljárás alatt</w:t>
      </w:r>
      <w:r w:rsidR="00D11E9B">
        <w:rPr>
          <w:b/>
        </w:rPr>
        <w:t>,</w:t>
      </w:r>
      <w:r w:rsidR="00492528" w:rsidRPr="00492528">
        <w:rPr>
          <w:b/>
        </w:rPr>
        <w:t xml:space="preserve"> </w:t>
      </w:r>
      <w:r w:rsidR="0059169D">
        <w:rPr>
          <w:b/>
        </w:rPr>
        <w:t>végül a</w:t>
      </w:r>
      <w:r w:rsidR="00492528">
        <w:rPr>
          <w:b/>
        </w:rPr>
        <w:t xml:space="preserve"> Gazdasági Versenyhivatal (GVH) figyelmeztet</w:t>
      </w:r>
      <w:r w:rsidR="00A03851">
        <w:rPr>
          <w:b/>
        </w:rPr>
        <w:t xml:space="preserve">te és </w:t>
      </w:r>
      <w:r w:rsidR="0059169D">
        <w:rPr>
          <w:b/>
        </w:rPr>
        <w:t>megfelelésre kötelezte</w:t>
      </w:r>
      <w:r w:rsidR="00A03851">
        <w:rPr>
          <w:b/>
        </w:rPr>
        <w:t xml:space="preserve"> a céget</w:t>
      </w:r>
      <w:r w:rsidR="00492528">
        <w:rPr>
          <w:b/>
        </w:rPr>
        <w:t xml:space="preserve">. A GVH megállapította, hogy </w:t>
      </w:r>
      <w:r w:rsidR="00492528" w:rsidRPr="00492528">
        <w:rPr>
          <w:b/>
        </w:rPr>
        <w:t>az egyik legnagyobb hazai repohár-forgalmazó</w:t>
      </w:r>
      <w:r w:rsidR="00492528">
        <w:rPr>
          <w:b/>
        </w:rPr>
        <w:t xml:space="preserve"> vállalkozás a fogyasztók számára megtévesztő módon kommunikált </w:t>
      </w:r>
      <w:r w:rsidR="00492528" w:rsidRPr="00492528">
        <w:rPr>
          <w:b/>
        </w:rPr>
        <w:t>a poharak, illetve a visszaváltási rendszer környezetre gyakorolt hatásai</w:t>
      </w:r>
      <w:r w:rsidR="00492528">
        <w:rPr>
          <w:b/>
        </w:rPr>
        <w:t>ról. Az alkalmazott kereskedelmi gyakorlat</w:t>
      </w:r>
      <w:r w:rsidR="00D11E9B">
        <w:rPr>
          <w:b/>
        </w:rPr>
        <w:t>áról</w:t>
      </w:r>
      <w:r w:rsidR="00492528">
        <w:rPr>
          <w:b/>
        </w:rPr>
        <w:t xml:space="preserve"> ugyanakkor nem volt megállapítható</w:t>
      </w:r>
      <w:r w:rsidR="0059169D">
        <w:rPr>
          <w:b/>
        </w:rPr>
        <w:t>, hogy az agresszív is lenne, de nem is volt kizárható a fogyasztókra gyakorolt kedvezőtlen hatás,</w:t>
      </w:r>
      <w:r w:rsidR="00492528">
        <w:rPr>
          <w:b/>
        </w:rPr>
        <w:t xml:space="preserve"> ezért a GVH felhívja a </w:t>
      </w:r>
      <w:r w:rsidR="0013244C">
        <w:rPr>
          <w:b/>
        </w:rPr>
        <w:t xml:space="preserve">repohár </w:t>
      </w:r>
      <w:r w:rsidR="00492528">
        <w:rPr>
          <w:b/>
        </w:rPr>
        <w:t>rendszert alkalmazó vendéglátóhelyek figyelmét</w:t>
      </w:r>
      <w:r w:rsidR="0059169D">
        <w:rPr>
          <w:b/>
        </w:rPr>
        <w:t xml:space="preserve"> is</w:t>
      </w:r>
      <w:r w:rsidR="00492528">
        <w:rPr>
          <w:b/>
        </w:rPr>
        <w:t>, hogy</w:t>
      </w:r>
      <w:r w:rsidR="00D63A95">
        <w:rPr>
          <w:b/>
        </w:rPr>
        <w:t xml:space="preserve"> </w:t>
      </w:r>
      <w:r w:rsidR="0059169D">
        <w:rPr>
          <w:b/>
        </w:rPr>
        <w:t xml:space="preserve">a jogsértések elkerülése érdekében </w:t>
      </w:r>
      <w:r w:rsidR="00D63A95">
        <w:rPr>
          <w:b/>
        </w:rPr>
        <w:t>biztosítsák</w:t>
      </w:r>
      <w:r w:rsidR="00492528">
        <w:rPr>
          <w:b/>
        </w:rPr>
        <w:t xml:space="preserve"> a </w:t>
      </w:r>
      <w:r w:rsidR="002C2941">
        <w:rPr>
          <w:b/>
        </w:rPr>
        <w:t>vendégeik</w:t>
      </w:r>
      <w:r w:rsidR="00D63A95">
        <w:rPr>
          <w:b/>
        </w:rPr>
        <w:t xml:space="preserve"> </w:t>
      </w:r>
      <w:r w:rsidR="002C2941">
        <w:rPr>
          <w:b/>
        </w:rPr>
        <w:t>tájékoztatását, illetve vizsgálják felül a poharak visszaváltásával kapcsolatos kereskedelmi gyakorlatukat.</w:t>
      </w:r>
    </w:p>
    <w:p w14:paraId="08946997" w14:textId="7240ABF4" w:rsidR="00492528" w:rsidRDefault="00000000" w:rsidP="0013244C">
      <w:pPr>
        <w:tabs>
          <w:tab w:val="left" w:pos="567"/>
        </w:tabs>
        <w:spacing w:after="100" w:line="264" w:lineRule="auto"/>
        <w:rPr>
          <w:bCs/>
        </w:rPr>
      </w:pPr>
      <w:hyperlink r:id="rId8" w:history="1">
        <w:r w:rsidR="00492528" w:rsidRPr="00492528">
          <w:rPr>
            <w:rStyle w:val="Hiperhivatkozs"/>
            <w:bCs/>
          </w:rPr>
          <w:t>2022 októberében indított versenyfelügyeleti eljárást a Gazdasági Versenyhivatal a Cup Revolution Szolgáltató Kft.-vel szemben</w:t>
        </w:r>
      </w:hyperlink>
      <w:r w:rsidR="00492528">
        <w:rPr>
          <w:bCs/>
        </w:rPr>
        <w:t>, mert a GVH gyanúja szerint a</w:t>
      </w:r>
      <w:r w:rsidR="00D11E9B" w:rsidRPr="00D11E9B">
        <w:t xml:space="preserve"> </w:t>
      </w:r>
      <w:r w:rsidR="00D11E9B" w:rsidRPr="00D11E9B">
        <w:rPr>
          <w:bCs/>
        </w:rPr>
        <w:t>számos hazai fesztivál, koncerthelyszín, vendéglátóhely és sportrendezvény műanyag pohár-visszaváltó (ún.  repohár) rendszerét biztosít</w:t>
      </w:r>
      <w:r w:rsidR="00D11E9B">
        <w:rPr>
          <w:bCs/>
        </w:rPr>
        <w:t>ó</w:t>
      </w:r>
      <w:r w:rsidR="00492528">
        <w:rPr>
          <w:bCs/>
        </w:rPr>
        <w:t xml:space="preserve"> vállalkozás kereskedelmi módszere, illetve a reklámkommunikációja során alkalmazott egyes környezetvédelmi állításai nem feleltek meg a vonatkozó jogszabályi előírásoknak</w:t>
      </w:r>
      <w:r w:rsidR="00D11E9B">
        <w:rPr>
          <w:bCs/>
        </w:rPr>
        <w:t>, illetve megtéveszthették a fogyasztókat.</w:t>
      </w:r>
    </w:p>
    <w:p w14:paraId="63E8380D" w14:textId="77777777" w:rsidR="00EF617E" w:rsidRDefault="00D11E9B" w:rsidP="0013244C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megállapította, hogy</w:t>
      </w:r>
    </w:p>
    <w:p w14:paraId="3611A9ED" w14:textId="743CF3F3" w:rsidR="00D11E9B" w:rsidRDefault="00D11E9B" w:rsidP="00EF617E">
      <w:pPr>
        <w:pStyle w:val="Listaszerbekezds"/>
        <w:numPr>
          <w:ilvl w:val="0"/>
          <w:numId w:val="4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 xml:space="preserve">a </w:t>
      </w:r>
      <w:r w:rsidR="00EF617E">
        <w:rPr>
          <w:bCs/>
        </w:rPr>
        <w:t>Cup Revolution</w:t>
      </w:r>
      <w:r w:rsidRPr="00EF617E">
        <w:rPr>
          <w:bCs/>
        </w:rPr>
        <w:t xml:space="preserve"> 2021. augusztus 5-től 2023. júniusig, a repohár rendszerére vonatkozó</w:t>
      </w:r>
      <w:r w:rsidR="009C5094" w:rsidRPr="00EF617E">
        <w:rPr>
          <w:bCs/>
        </w:rPr>
        <w:t xml:space="preserve">, egyes környezetvédelmi </w:t>
      </w:r>
      <w:r w:rsidRPr="00EF617E">
        <w:rPr>
          <w:bCs/>
          <w:i/>
          <w:iCs/>
        </w:rPr>
        <w:t>(„újrahasználható/újrahasznosítható”</w:t>
      </w:r>
      <w:r w:rsidRPr="00EF617E">
        <w:rPr>
          <w:bCs/>
        </w:rPr>
        <w:t xml:space="preserve">, </w:t>
      </w:r>
      <w:r w:rsidRPr="00EF617E">
        <w:rPr>
          <w:bCs/>
          <w:i/>
          <w:iCs/>
        </w:rPr>
        <w:t>„hulladék csökkentés”</w:t>
      </w:r>
      <w:r w:rsidRPr="00EF617E">
        <w:rPr>
          <w:bCs/>
        </w:rPr>
        <w:t xml:space="preserve"> és </w:t>
      </w:r>
      <w:r w:rsidRPr="00EF617E">
        <w:rPr>
          <w:bCs/>
          <w:i/>
          <w:iCs/>
        </w:rPr>
        <w:t>„fenntarthatóság/körforgás/környezetbarát működés”</w:t>
      </w:r>
      <w:r w:rsidRPr="00EF617E">
        <w:rPr>
          <w:bCs/>
        </w:rPr>
        <w:t xml:space="preserve"> kategóriákba sorolható) állításokkal megtévesztette a fogyasztókat. </w:t>
      </w:r>
      <w:r w:rsidR="009C5094" w:rsidRPr="00EF617E">
        <w:rPr>
          <w:bCs/>
        </w:rPr>
        <w:t>A</w:t>
      </w:r>
      <w:r w:rsidR="00EF617E">
        <w:rPr>
          <w:bCs/>
        </w:rPr>
        <w:t xml:space="preserve"> vállalkozás</w:t>
      </w:r>
      <w:r w:rsidR="009C5094" w:rsidRPr="00EF617E">
        <w:rPr>
          <w:bCs/>
        </w:rPr>
        <w:t xml:space="preserve"> az eljárás során nem tudta igazolni egyes</w:t>
      </w:r>
      <w:r w:rsidRPr="00EF617E">
        <w:rPr>
          <w:bCs/>
        </w:rPr>
        <w:t xml:space="preserve"> reklámállításai (pl. </w:t>
      </w:r>
      <w:r w:rsidRPr="00EF617E">
        <w:rPr>
          <w:bCs/>
          <w:i/>
          <w:iCs/>
        </w:rPr>
        <w:t>„A visszaváltható és mosható poharak használatával akár 80%-kal csökkenthető a rendezvények és vendéglátóhelyek hulladéktermelése.”</w:t>
      </w:r>
      <w:r w:rsidRPr="00EF617E">
        <w:rPr>
          <w:bCs/>
        </w:rPr>
        <w:t>)</w:t>
      </w:r>
      <w:r w:rsidR="009C5094" w:rsidRPr="00EF617E">
        <w:rPr>
          <w:bCs/>
        </w:rPr>
        <w:t xml:space="preserve"> megalapozottságát</w:t>
      </w:r>
      <w:r w:rsidR="00333666">
        <w:rPr>
          <w:bCs/>
        </w:rPr>
        <w:t>,</w:t>
      </w:r>
    </w:p>
    <w:p w14:paraId="4D963EEE" w14:textId="21DE1985" w:rsidR="009C5094" w:rsidRPr="00EF617E" w:rsidRDefault="009C5094" w:rsidP="00EF617E">
      <w:pPr>
        <w:pStyle w:val="Listaszerbekezds"/>
        <w:numPr>
          <w:ilvl w:val="0"/>
          <w:numId w:val="4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</w:t>
      </w:r>
      <w:r w:rsidR="00EF617E">
        <w:rPr>
          <w:bCs/>
        </w:rPr>
        <w:t xml:space="preserve"> cég</w:t>
      </w:r>
      <w:r w:rsidRPr="00EF617E">
        <w:rPr>
          <w:bCs/>
        </w:rPr>
        <w:t xml:space="preserve"> által alkalmazott repohár rendszer általános működés</w:t>
      </w:r>
      <w:r w:rsidR="0013244C" w:rsidRPr="00EF617E">
        <w:rPr>
          <w:bCs/>
        </w:rPr>
        <w:t>éről</w:t>
      </w:r>
      <w:r w:rsidRPr="00EF617E">
        <w:rPr>
          <w:bCs/>
        </w:rPr>
        <w:t xml:space="preserve"> önmagában – az egyes vendéglátóhelyeken elérhető megoldásoktól és tájékoztatásoktól függetlenül is – </w:t>
      </w:r>
      <w:r w:rsidR="0013244C" w:rsidRPr="00EF617E">
        <w:rPr>
          <w:bCs/>
        </w:rPr>
        <w:t xml:space="preserve">nem állapítható meg, hogy az </w:t>
      </w:r>
      <w:r w:rsidRPr="00EF617E">
        <w:rPr>
          <w:bCs/>
        </w:rPr>
        <w:t>alkalmas lenne nyomásgyakorlásra, illetve a fogyasztók tisztességtelen befolyásolás</w:t>
      </w:r>
      <w:r w:rsidR="005274CF" w:rsidRPr="00EF617E">
        <w:rPr>
          <w:bCs/>
        </w:rPr>
        <w:t>á</w:t>
      </w:r>
      <w:r w:rsidRPr="00EF617E">
        <w:rPr>
          <w:bCs/>
        </w:rPr>
        <w:t>ra.</w:t>
      </w:r>
    </w:p>
    <w:p w14:paraId="150E7A98" w14:textId="107501AF" w:rsidR="00EF617E" w:rsidRDefault="005274CF" w:rsidP="0013244C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Versenytanácsa</w:t>
      </w:r>
      <w:r w:rsidR="0013244C">
        <w:rPr>
          <w:bCs/>
        </w:rPr>
        <w:t xml:space="preserve"> a döntés során</w:t>
      </w:r>
      <w:r>
        <w:rPr>
          <w:bCs/>
        </w:rPr>
        <w:t xml:space="preserve"> figyelembe</w:t>
      </w:r>
      <w:r w:rsidR="0059169D">
        <w:rPr>
          <w:bCs/>
        </w:rPr>
        <w:t xml:space="preserve"> vette</w:t>
      </w:r>
      <w:r>
        <w:rPr>
          <w:bCs/>
        </w:rPr>
        <w:t>, hogy</w:t>
      </w:r>
    </w:p>
    <w:p w14:paraId="3ECF035A" w14:textId="3BD23B48" w:rsidR="00EF617E" w:rsidRDefault="005274CF" w:rsidP="00EF617E">
      <w:pPr>
        <w:pStyle w:val="Listaszerbekezds"/>
        <w:numPr>
          <w:ilvl w:val="0"/>
          <w:numId w:val="5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az eljárás alá vont cég kisvállalkozás,</w:t>
      </w:r>
    </w:p>
    <w:p w14:paraId="7CDA0888" w14:textId="702AFB0B" w:rsidR="00EF617E" w:rsidRDefault="00EF617E" w:rsidP="00EF617E">
      <w:pPr>
        <w:pStyle w:val="Listaszerbekezds"/>
        <w:numPr>
          <w:ilvl w:val="0"/>
          <w:numId w:val="5"/>
        </w:num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</w:t>
      </w:r>
      <w:r w:rsidR="005274CF" w:rsidRPr="00EF617E">
        <w:rPr>
          <w:bCs/>
        </w:rPr>
        <w:t xml:space="preserve"> versenyhatóság korábban nem állapított meg jogsértést vele szemben,</w:t>
      </w:r>
    </w:p>
    <w:p w14:paraId="630D489F" w14:textId="053B873E" w:rsidR="00EF617E" w:rsidRDefault="005274CF" w:rsidP="00EF617E">
      <w:pPr>
        <w:pStyle w:val="Listaszerbekezds"/>
        <w:numPr>
          <w:ilvl w:val="0"/>
          <w:numId w:val="5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 kereskedelmi gyakorlata nem sérülékeny fogyasztói kört</w:t>
      </w:r>
      <w:r w:rsidR="00F34BDB">
        <w:rPr>
          <w:bCs/>
        </w:rPr>
        <w:t xml:space="preserve">, tehát </w:t>
      </w:r>
      <w:r w:rsidR="00F34BDB" w:rsidRPr="00F34BDB">
        <w:rPr>
          <w:bCs/>
        </w:rPr>
        <w:t>nem gyermekeket, betegeket vagy időseket célzott</w:t>
      </w:r>
      <w:r w:rsidR="00326DFC">
        <w:rPr>
          <w:bCs/>
        </w:rPr>
        <w:t>.</w:t>
      </w:r>
    </w:p>
    <w:p w14:paraId="34F7AE06" w14:textId="2D1BE2A8" w:rsidR="00EF617E" w:rsidRDefault="005274CF" w:rsidP="00EF617E">
      <w:p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 döntés során fontos körülmény volt, hogy</w:t>
      </w:r>
    </w:p>
    <w:p w14:paraId="65CF72AF" w14:textId="73CE40C2" w:rsidR="0013244C" w:rsidRDefault="005274CF" w:rsidP="00EF617E">
      <w:pPr>
        <w:pStyle w:val="Listaszerbekezds"/>
        <w:numPr>
          <w:ilvl w:val="0"/>
          <w:numId w:val="6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az eljárás megindítását követően a Cup Revolution számos ponton felülvizsgálta és módosította az alkalmazott kereskedelmi gyakorlatát (pl. a poharak visszaváltását segítő applikációt vezetett be) és 2024-ben további fejlesztéseket jelentett be</w:t>
      </w:r>
      <w:r w:rsidR="0059169D">
        <w:rPr>
          <w:bCs/>
        </w:rPr>
        <w:t>,</w:t>
      </w:r>
    </w:p>
    <w:p w14:paraId="38702ABE" w14:textId="1C514B42" w:rsidR="00A03851" w:rsidRPr="00F34BDB" w:rsidRDefault="00925B2C" w:rsidP="00F34BDB">
      <w:pPr>
        <w:pStyle w:val="Listaszerbekezds"/>
        <w:numPr>
          <w:ilvl w:val="0"/>
          <w:numId w:val="6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 vállalkozás már az eljárás során, megfelelési szándékkal módosította a jogsértőnek ítélt környezetvédelmi, úgynevezett „zöld-állításait”</w:t>
      </w:r>
      <w:r w:rsidR="00EF617E">
        <w:rPr>
          <w:bCs/>
        </w:rPr>
        <w:t>.</w:t>
      </w:r>
    </w:p>
    <w:p w14:paraId="4B8CE6F5" w14:textId="231CB001" w:rsidR="002C2941" w:rsidRDefault="00925B2C" w:rsidP="002B438F">
      <w:p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 xml:space="preserve">A GVH Versenytanácsának megítélése szerint mindezek alapján joggal feltételezhető a cég jövőbeli </w:t>
      </w:r>
      <w:r w:rsidR="0059169D">
        <w:rPr>
          <w:bCs/>
        </w:rPr>
        <w:t xml:space="preserve">jogkövető </w:t>
      </w:r>
      <w:r w:rsidRPr="00EF617E">
        <w:rPr>
          <w:bCs/>
        </w:rPr>
        <w:t>magatartás</w:t>
      </w:r>
      <w:r w:rsidR="0059169D">
        <w:rPr>
          <w:bCs/>
        </w:rPr>
        <w:t>a</w:t>
      </w:r>
      <w:r w:rsidRPr="00EF617E">
        <w:rPr>
          <w:bCs/>
        </w:rPr>
        <w:t xml:space="preserve">, így a GVH Versenytanácsa figyelmeztetésben részesítette a Cup Revolution Kft.-t. </w:t>
      </w:r>
      <w:r w:rsidR="002C2941" w:rsidRPr="002C2941">
        <w:rPr>
          <w:bCs/>
        </w:rPr>
        <w:t xml:space="preserve">A nemzeti versenyhatóság a fogyasztók, valamint a tiszta piaci verseny </w:t>
      </w:r>
      <w:r w:rsidR="002C2941" w:rsidRPr="002C2941">
        <w:rPr>
          <w:bCs/>
        </w:rPr>
        <w:lastRenderedPageBreak/>
        <w:t>szempontjából előremutatónak tartja, ha egy eljárás alá vont vállalkozás a GVH vizsgálatának megindítását követően felülvizsgálja a kereskedelmi gyakorlatát.</w:t>
      </w:r>
    </w:p>
    <w:p w14:paraId="041EC54E" w14:textId="47FB0D4E" w:rsidR="00EF617E" w:rsidRDefault="002C2941" w:rsidP="00EF617E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Versenytanácsa a figyelmeztetés mellett</w:t>
      </w:r>
      <w:r w:rsidR="00925B2C" w:rsidRPr="00EF617E">
        <w:rPr>
          <w:bCs/>
        </w:rPr>
        <w:t xml:space="preserve"> előírta a cég számára</w:t>
      </w:r>
      <w:r w:rsidR="00EF617E">
        <w:rPr>
          <w:bCs/>
        </w:rPr>
        <w:t>, hogy</w:t>
      </w:r>
    </w:p>
    <w:p w14:paraId="085CA44A" w14:textId="6783FEEA" w:rsidR="00EF617E" w:rsidRDefault="00925B2C" w:rsidP="00EF617E">
      <w:pPr>
        <w:pStyle w:val="Listaszerbekezds"/>
        <w:numPr>
          <w:ilvl w:val="0"/>
          <w:numId w:val="7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vizsgálja felül az általa (aktuálisan) alkalmazott összes kommunikációs eszközt</w:t>
      </w:r>
      <w:r w:rsidR="00EF617E">
        <w:rPr>
          <w:bCs/>
        </w:rPr>
        <w:t>, különös tekintettel</w:t>
      </w:r>
      <w:r w:rsidRPr="00EF617E">
        <w:rPr>
          <w:bCs/>
        </w:rPr>
        <w:t xml:space="preserve"> a környezetre gyakorolt hatásokra vonatkozó állításokra,</w:t>
      </w:r>
    </w:p>
    <w:p w14:paraId="6E16500B" w14:textId="4DD73EEF" w:rsidR="0013244C" w:rsidRPr="00EF617E" w:rsidRDefault="00925B2C" w:rsidP="00EF617E">
      <w:pPr>
        <w:pStyle w:val="Listaszerbekezds"/>
        <w:numPr>
          <w:ilvl w:val="0"/>
          <w:numId w:val="7"/>
        </w:numPr>
        <w:tabs>
          <w:tab w:val="left" w:pos="567"/>
        </w:tabs>
        <w:spacing w:after="100" w:line="264" w:lineRule="auto"/>
        <w:rPr>
          <w:bCs/>
        </w:rPr>
      </w:pPr>
      <w:r w:rsidRPr="00EF617E">
        <w:rPr>
          <w:bCs/>
        </w:rPr>
        <w:t>alakítson ki olyan programot, amely segíti a fogyasztók tájékoztatását a repohár rendszer működésév</w:t>
      </w:r>
      <w:r w:rsidR="0013244C" w:rsidRPr="00EF617E">
        <w:rPr>
          <w:bCs/>
        </w:rPr>
        <w:t>e</w:t>
      </w:r>
      <w:r w:rsidRPr="00EF617E">
        <w:rPr>
          <w:bCs/>
        </w:rPr>
        <w:t>l kapcsolatban.</w:t>
      </w:r>
    </w:p>
    <w:p w14:paraId="42150034" w14:textId="75779058" w:rsidR="002C2941" w:rsidRDefault="00925B2C" w:rsidP="002C2941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 xml:space="preserve">A vizsgálat tapasztalatai alapján a GVH </w:t>
      </w:r>
      <w:r w:rsidR="00F34BDB">
        <w:rPr>
          <w:bCs/>
        </w:rPr>
        <w:t>elnöke felszólító</w:t>
      </w:r>
      <w:r>
        <w:rPr>
          <w:bCs/>
        </w:rPr>
        <w:t xml:space="preserve"> levéllel fordult az egyik repohár rendszert alkalmazó budapesti koncerthelyszínhez</w:t>
      </w:r>
      <w:r w:rsidR="00BA2BBC">
        <w:rPr>
          <w:bCs/>
        </w:rPr>
        <w:t>. Ezzel összefüggésben a nemzeti versenyhatóság</w:t>
      </w:r>
      <w:r w:rsidR="0013244C">
        <w:rPr>
          <w:bCs/>
        </w:rPr>
        <w:t xml:space="preserve"> </w:t>
      </w:r>
      <w:r w:rsidR="0013244C" w:rsidRPr="0013244C">
        <w:rPr>
          <w:bCs/>
        </w:rPr>
        <w:t xml:space="preserve">felhívja </w:t>
      </w:r>
      <w:r w:rsidR="00BA2BBC">
        <w:rPr>
          <w:bCs/>
        </w:rPr>
        <w:t xml:space="preserve">valamennyi, </w:t>
      </w:r>
      <w:r w:rsidR="0013244C" w:rsidRPr="0013244C">
        <w:rPr>
          <w:bCs/>
        </w:rPr>
        <w:t>a rendszert alkalmazó vendéglátóhely figyelmét, hogy</w:t>
      </w:r>
      <w:r w:rsidR="002C2941">
        <w:rPr>
          <w:bCs/>
        </w:rPr>
        <w:t xml:space="preserve"> a lehető legszélesebb körben biztosítsák a fogyasztók tájékoztatását a repohár rendszer alkalmazásáról, </w:t>
      </w:r>
      <w:r w:rsidR="00727FF8" w:rsidRPr="002C2941">
        <w:rPr>
          <w:bCs/>
        </w:rPr>
        <w:t>illetve</w:t>
      </w:r>
      <w:r w:rsidR="002C2941" w:rsidRPr="002C2941">
        <w:rPr>
          <w:bCs/>
        </w:rPr>
        <w:t xml:space="preserve"> vizsgálják felül a poharak visszaváltásával kapcsolatos kereskedelmi gyakorlatukat.</w:t>
      </w:r>
    </w:p>
    <w:p w14:paraId="782E37D3" w14:textId="397615A5" w:rsidR="00EF617E" w:rsidRDefault="00EF617E" w:rsidP="002C2941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az ügy kapcsán</w:t>
      </w:r>
      <w:r w:rsidR="00D63A95">
        <w:rPr>
          <w:bCs/>
        </w:rPr>
        <w:t xml:space="preserve"> hangsúlyosan</w:t>
      </w:r>
      <w:r>
        <w:rPr>
          <w:bCs/>
        </w:rPr>
        <w:t xml:space="preserve"> felhívja a vállalkozások figyelmét </w:t>
      </w:r>
      <w:r w:rsidR="00D63A95">
        <w:rPr>
          <w:bCs/>
        </w:rPr>
        <w:t xml:space="preserve">a reklámkommunikációjuk során alkalmazott környezetvédelmi, úgynevezett „zöld-állítások” megalapozottságára. Ehhez iránymutatást kaphatnak a </w:t>
      </w:r>
      <w:hyperlink r:id="rId9" w:history="1">
        <w:r w:rsidR="00D63A95" w:rsidRPr="00D63A95">
          <w:rPr>
            <w:rStyle w:val="Hiperhivatkozs"/>
            <w:bCs/>
          </w:rPr>
          <w:t>GVH Podcast legfrissebb adásából</w:t>
        </w:r>
      </w:hyperlink>
      <w:r w:rsidR="00D63A95">
        <w:rPr>
          <w:bCs/>
        </w:rPr>
        <w:t xml:space="preserve">, </w:t>
      </w:r>
      <w:r w:rsidR="00727FF8">
        <w:rPr>
          <w:bCs/>
        </w:rPr>
        <w:t xml:space="preserve">valamint </w:t>
      </w:r>
      <w:r w:rsidR="00D63A95">
        <w:rPr>
          <w:bCs/>
        </w:rPr>
        <w:t xml:space="preserve">a nemzeti versenyhatóság </w:t>
      </w:r>
      <w:hyperlink r:id="rId10" w:history="1">
        <w:r w:rsidR="00EF3985">
          <w:rPr>
            <w:rStyle w:val="Hiperhivatkozs"/>
            <w:bCs/>
          </w:rPr>
          <w:t>z</w:t>
        </w:r>
        <w:r w:rsidR="00D63A95" w:rsidRPr="00D63A95">
          <w:rPr>
            <w:rStyle w:val="Hiperhivatkozs"/>
            <w:bCs/>
          </w:rPr>
          <w:t>öld marketing útmutatójából</w:t>
        </w:r>
      </w:hyperlink>
      <w:r w:rsidR="00D63A95">
        <w:rPr>
          <w:bCs/>
        </w:rPr>
        <w:t xml:space="preserve"> </w:t>
      </w:r>
      <w:r w:rsidR="00727FF8">
        <w:rPr>
          <w:bCs/>
        </w:rPr>
        <w:t>i</w:t>
      </w:r>
      <w:r w:rsidR="00D63A95">
        <w:rPr>
          <w:bCs/>
        </w:rPr>
        <w:t>s részletesen tájékozódhatnak. A GVH egyúttal figyelmezteti a cégeket, hogy az általuk nyújtott szolgáltatások működéséről biztosítsanak átlátható és részletes tájékoztatást a fogyasztóknak.</w:t>
      </w:r>
    </w:p>
    <w:p w14:paraId="07821439" w14:textId="77777777" w:rsidR="00D63A95" w:rsidRDefault="00D63A95" w:rsidP="00D63A95">
      <w:pPr>
        <w:tabs>
          <w:tab w:val="left" w:pos="567"/>
        </w:tabs>
        <w:spacing w:after="100" w:line="264" w:lineRule="auto"/>
        <w:rPr>
          <w:bCs/>
        </w:rPr>
      </w:pPr>
    </w:p>
    <w:p w14:paraId="3F5C0D44" w14:textId="54720C07" w:rsidR="00361831" w:rsidRPr="00F97FB3" w:rsidRDefault="00361831" w:rsidP="0013244C">
      <w:pPr>
        <w:spacing w:after="100" w:line="264" w:lineRule="auto"/>
      </w:pPr>
      <w:r w:rsidRPr="002B7232">
        <w:t xml:space="preserve">Az ügy hivatali nyilvántartási száma: </w:t>
      </w:r>
      <w:r w:rsidR="00D11E9B" w:rsidRPr="00D11E9B">
        <w:rPr>
          <w:b/>
          <w:bCs/>
        </w:rPr>
        <w:t>VJ/34/2022</w:t>
      </w:r>
      <w:r w:rsidR="00D11E9B">
        <w:rPr>
          <w:b/>
          <w:bCs/>
        </w:rPr>
        <w:t>.</w:t>
      </w:r>
    </w:p>
    <w:bookmarkEnd w:id="2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13244C">
      <w:footerReference w:type="default" r:id="rId11"/>
      <w:headerReference w:type="first" r:id="rId12"/>
      <w:footerReference w:type="first" r:id="rId13"/>
      <w:pgSz w:w="11906" w:h="16838"/>
      <w:pgMar w:top="284" w:right="851" w:bottom="851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F4CB" w14:textId="77777777" w:rsidR="003C40E7" w:rsidRDefault="003C40E7">
      <w:pPr>
        <w:spacing w:after="0" w:line="240" w:lineRule="auto"/>
      </w:pPr>
      <w:r>
        <w:separator/>
      </w:r>
    </w:p>
  </w:endnote>
  <w:endnote w:type="continuationSeparator" w:id="0">
    <w:p w14:paraId="78698047" w14:textId="77777777" w:rsidR="003C40E7" w:rsidRDefault="003C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8860" w14:textId="77777777" w:rsidR="003C40E7" w:rsidRDefault="003C40E7">
      <w:pPr>
        <w:spacing w:after="0" w:line="240" w:lineRule="auto"/>
      </w:pPr>
      <w:r>
        <w:separator/>
      </w:r>
    </w:p>
  </w:footnote>
  <w:footnote w:type="continuationSeparator" w:id="0">
    <w:p w14:paraId="34BB493F" w14:textId="77777777" w:rsidR="003C40E7" w:rsidRDefault="003C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583"/>
    <w:multiLevelType w:val="hybridMultilevel"/>
    <w:tmpl w:val="239ECF4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2767BFF"/>
    <w:multiLevelType w:val="hybridMultilevel"/>
    <w:tmpl w:val="631488A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6F542D26"/>
    <w:multiLevelType w:val="hybridMultilevel"/>
    <w:tmpl w:val="A838E8C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33F7D9F"/>
    <w:multiLevelType w:val="hybridMultilevel"/>
    <w:tmpl w:val="0184739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5"/>
  </w:num>
  <w:num w:numId="2" w16cid:durableId="977345090">
    <w:abstractNumId w:val="6"/>
  </w:num>
  <w:num w:numId="3" w16cid:durableId="551044178">
    <w:abstractNumId w:val="2"/>
  </w:num>
  <w:num w:numId="4" w16cid:durableId="717323315">
    <w:abstractNumId w:val="1"/>
  </w:num>
  <w:num w:numId="5" w16cid:durableId="805660304">
    <w:abstractNumId w:val="3"/>
  </w:num>
  <w:num w:numId="6" w16cid:durableId="495804354">
    <w:abstractNumId w:val="4"/>
  </w:num>
  <w:num w:numId="7" w16cid:durableId="63906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358B"/>
    <w:rsid w:val="00074B19"/>
    <w:rsid w:val="00074E8E"/>
    <w:rsid w:val="000C54F1"/>
    <w:rsid w:val="0013244C"/>
    <w:rsid w:val="00137704"/>
    <w:rsid w:val="001603D4"/>
    <w:rsid w:val="00166C7F"/>
    <w:rsid w:val="001A45E8"/>
    <w:rsid w:val="00202D48"/>
    <w:rsid w:val="00206DF4"/>
    <w:rsid w:val="002574F3"/>
    <w:rsid w:val="002A0E05"/>
    <w:rsid w:val="002A426E"/>
    <w:rsid w:val="002B438F"/>
    <w:rsid w:val="002B5D64"/>
    <w:rsid w:val="002C2941"/>
    <w:rsid w:val="002D3134"/>
    <w:rsid w:val="002D7A9E"/>
    <w:rsid w:val="00326DFC"/>
    <w:rsid w:val="00333666"/>
    <w:rsid w:val="00361831"/>
    <w:rsid w:val="00385749"/>
    <w:rsid w:val="0038706A"/>
    <w:rsid w:val="003C40E7"/>
    <w:rsid w:val="003C51E4"/>
    <w:rsid w:val="003D3C6B"/>
    <w:rsid w:val="003E675C"/>
    <w:rsid w:val="00422C2A"/>
    <w:rsid w:val="00424B8A"/>
    <w:rsid w:val="00430D05"/>
    <w:rsid w:val="00443FF7"/>
    <w:rsid w:val="00491BFC"/>
    <w:rsid w:val="00492528"/>
    <w:rsid w:val="004E13FE"/>
    <w:rsid w:val="004E3CF2"/>
    <w:rsid w:val="004F164F"/>
    <w:rsid w:val="005274CF"/>
    <w:rsid w:val="00532A40"/>
    <w:rsid w:val="00545903"/>
    <w:rsid w:val="005566B7"/>
    <w:rsid w:val="0059169D"/>
    <w:rsid w:val="005A384B"/>
    <w:rsid w:val="005A4856"/>
    <w:rsid w:val="005B31C0"/>
    <w:rsid w:val="005C574F"/>
    <w:rsid w:val="005E13E7"/>
    <w:rsid w:val="005E7373"/>
    <w:rsid w:val="00612D35"/>
    <w:rsid w:val="00626E97"/>
    <w:rsid w:val="00662D35"/>
    <w:rsid w:val="006A4F2E"/>
    <w:rsid w:val="006F5CD2"/>
    <w:rsid w:val="0072038E"/>
    <w:rsid w:val="00721F53"/>
    <w:rsid w:val="00727FF8"/>
    <w:rsid w:val="00736F52"/>
    <w:rsid w:val="007434D4"/>
    <w:rsid w:val="007477D8"/>
    <w:rsid w:val="007D53B9"/>
    <w:rsid w:val="007E7FE3"/>
    <w:rsid w:val="008302EE"/>
    <w:rsid w:val="00835934"/>
    <w:rsid w:val="0087723A"/>
    <w:rsid w:val="008927DB"/>
    <w:rsid w:val="00896276"/>
    <w:rsid w:val="008C44CC"/>
    <w:rsid w:val="008C451A"/>
    <w:rsid w:val="008E0E72"/>
    <w:rsid w:val="008F43F8"/>
    <w:rsid w:val="00904062"/>
    <w:rsid w:val="00905BBD"/>
    <w:rsid w:val="00911FC3"/>
    <w:rsid w:val="00912F79"/>
    <w:rsid w:val="00925B2C"/>
    <w:rsid w:val="00925F46"/>
    <w:rsid w:val="00933AD1"/>
    <w:rsid w:val="009379D0"/>
    <w:rsid w:val="00991A1E"/>
    <w:rsid w:val="009A512B"/>
    <w:rsid w:val="009B794A"/>
    <w:rsid w:val="009C2511"/>
    <w:rsid w:val="009C5094"/>
    <w:rsid w:val="009E6552"/>
    <w:rsid w:val="00A00DA4"/>
    <w:rsid w:val="00A03851"/>
    <w:rsid w:val="00A23ED6"/>
    <w:rsid w:val="00A2530F"/>
    <w:rsid w:val="00A31E20"/>
    <w:rsid w:val="00A577FC"/>
    <w:rsid w:val="00A715B2"/>
    <w:rsid w:val="00A96E66"/>
    <w:rsid w:val="00AA0666"/>
    <w:rsid w:val="00AB6937"/>
    <w:rsid w:val="00AE5294"/>
    <w:rsid w:val="00AF1A47"/>
    <w:rsid w:val="00B31FB2"/>
    <w:rsid w:val="00B43BC7"/>
    <w:rsid w:val="00B6258F"/>
    <w:rsid w:val="00B6413F"/>
    <w:rsid w:val="00B708C6"/>
    <w:rsid w:val="00BA2BBC"/>
    <w:rsid w:val="00BA45A6"/>
    <w:rsid w:val="00BC4099"/>
    <w:rsid w:val="00C4538B"/>
    <w:rsid w:val="00C74C5F"/>
    <w:rsid w:val="00C87708"/>
    <w:rsid w:val="00C9083F"/>
    <w:rsid w:val="00CA2EBA"/>
    <w:rsid w:val="00CD56C9"/>
    <w:rsid w:val="00CD63D8"/>
    <w:rsid w:val="00CF2DA9"/>
    <w:rsid w:val="00D11E9B"/>
    <w:rsid w:val="00D213C7"/>
    <w:rsid w:val="00D2156B"/>
    <w:rsid w:val="00D31443"/>
    <w:rsid w:val="00D361F1"/>
    <w:rsid w:val="00D43503"/>
    <w:rsid w:val="00D45162"/>
    <w:rsid w:val="00D63A95"/>
    <w:rsid w:val="00DB780D"/>
    <w:rsid w:val="00DE2921"/>
    <w:rsid w:val="00E45607"/>
    <w:rsid w:val="00E665BD"/>
    <w:rsid w:val="00E761EB"/>
    <w:rsid w:val="00EC4637"/>
    <w:rsid w:val="00EE0B58"/>
    <w:rsid w:val="00EF3985"/>
    <w:rsid w:val="00EF617E"/>
    <w:rsid w:val="00F13997"/>
    <w:rsid w:val="00F22CD6"/>
    <w:rsid w:val="00F261FE"/>
    <w:rsid w:val="00F34BDB"/>
    <w:rsid w:val="00F55FD2"/>
    <w:rsid w:val="00F70719"/>
    <w:rsid w:val="00F82C6C"/>
    <w:rsid w:val="00F922F9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2-es-sajtokozlemenyek/poharvisszavalto-ceg-gyakorlatat-es-zold-allitasait-vizsgalja-a-gv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pfile/file?path=/szakmai_felhasznaloknak/tajekoztatok/szakmai_felhasznalok_tajekoztatok_zold-iranymutatas_201217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zold-allitasok-es-fenntarthatosag-a-gvh-legujabb-podcast-adasaba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Varga Andrea</cp:lastModifiedBy>
  <cp:revision>3</cp:revision>
  <dcterms:created xsi:type="dcterms:W3CDTF">2024-04-24T08:10:00Z</dcterms:created>
  <dcterms:modified xsi:type="dcterms:W3CDTF">2024-04-24T08:11:00Z</dcterms:modified>
</cp:coreProperties>
</file>