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0F0C" w14:textId="7B19CB96" w:rsidR="006F70D4" w:rsidRPr="006F70D4" w:rsidRDefault="00352001" w:rsidP="00352001">
      <w:pPr>
        <w:spacing w:after="120" w:line="264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Együttműködött a napelemes cég</w:t>
      </w:r>
      <w:r w:rsidR="005574B9">
        <w:rPr>
          <w:rFonts w:eastAsiaTheme="minorHAnsi"/>
          <w:b/>
          <w:bCs/>
          <w:sz w:val="28"/>
          <w:szCs w:val="28"/>
          <w:lang w:eastAsia="en-US"/>
        </w:rPr>
        <w:t xml:space="preserve"> a GVH-val</w:t>
      </w:r>
      <w:r>
        <w:rPr>
          <w:rFonts w:eastAsiaTheme="minorHAnsi"/>
          <w:b/>
          <w:bCs/>
          <w:sz w:val="28"/>
          <w:szCs w:val="28"/>
          <w:lang w:eastAsia="en-US"/>
        </w:rPr>
        <w:t>, jól járnak az érintett fogyasztók</w:t>
      </w:r>
    </w:p>
    <w:p w14:paraId="63162723" w14:textId="2B26F2B2" w:rsidR="006F70D4" w:rsidRPr="006F70D4" w:rsidRDefault="00A77466" w:rsidP="00A77466">
      <w:pPr>
        <w:spacing w:after="120" w:line="264" w:lineRule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Budapest, 2024. március 1</w:t>
      </w:r>
      <w:r w:rsidR="00F54D0C">
        <w:rPr>
          <w:rFonts w:eastAsiaTheme="minorHAnsi"/>
          <w:b/>
          <w:bCs/>
          <w:lang w:eastAsia="en-US"/>
        </w:rPr>
        <w:t>4</w:t>
      </w:r>
      <w:r>
        <w:rPr>
          <w:rFonts w:eastAsiaTheme="minorHAnsi"/>
          <w:b/>
          <w:bCs/>
          <w:lang w:eastAsia="en-US"/>
        </w:rPr>
        <w:t xml:space="preserve">. – </w:t>
      </w:r>
      <w:r w:rsidR="006F70D4" w:rsidRPr="006F70D4">
        <w:rPr>
          <w:rFonts w:eastAsiaTheme="minorHAnsi"/>
          <w:b/>
          <w:bCs/>
          <w:lang w:eastAsia="en-US"/>
        </w:rPr>
        <w:t>Több mint 1600 fogyasztó kap kompenzációt az EU SOLAR Nyrt</w:t>
      </w:r>
      <w:r w:rsidR="00396409">
        <w:rPr>
          <w:rFonts w:eastAsiaTheme="minorHAnsi"/>
          <w:b/>
          <w:bCs/>
          <w:lang w:eastAsia="en-US"/>
        </w:rPr>
        <w:t>.</w:t>
      </w:r>
      <w:r w:rsidR="006F70D4" w:rsidRPr="006F70D4">
        <w:rPr>
          <w:rFonts w:eastAsiaTheme="minorHAnsi"/>
          <w:b/>
          <w:bCs/>
          <w:lang w:eastAsia="en-US"/>
        </w:rPr>
        <w:t>-</w:t>
      </w:r>
      <w:proofErr w:type="spellStart"/>
      <w:r w:rsidR="006F70D4" w:rsidRPr="006F70D4">
        <w:rPr>
          <w:rFonts w:eastAsiaTheme="minorHAnsi"/>
          <w:b/>
          <w:bCs/>
          <w:lang w:eastAsia="en-US"/>
        </w:rPr>
        <w:t>től</w:t>
      </w:r>
      <w:proofErr w:type="spellEnd"/>
      <w:r w:rsidR="006F70D4" w:rsidRPr="006F70D4">
        <w:rPr>
          <w:rFonts w:eastAsiaTheme="minorHAnsi"/>
          <w:b/>
          <w:bCs/>
          <w:lang w:eastAsia="en-US"/>
        </w:rPr>
        <w:t xml:space="preserve"> a Gazdasági Versenyhivatal (GVH) eljárásának </w:t>
      </w:r>
      <w:r w:rsidR="007200C4">
        <w:rPr>
          <w:rFonts w:eastAsiaTheme="minorHAnsi"/>
          <w:b/>
          <w:bCs/>
          <w:lang w:eastAsia="en-US"/>
        </w:rPr>
        <w:t>köszönhetően</w:t>
      </w:r>
      <w:r w:rsidR="006F70D4" w:rsidRPr="006F70D4">
        <w:rPr>
          <w:rFonts w:eastAsiaTheme="minorHAnsi"/>
          <w:b/>
          <w:bCs/>
          <w:lang w:eastAsia="en-US"/>
        </w:rPr>
        <w:t>. A napelemek telepítésével foglalkozó cég vállalta, hogy három évig ingyenesen nyújt szerv</w:t>
      </w:r>
      <w:r w:rsidR="004D4DFD">
        <w:rPr>
          <w:rFonts w:eastAsiaTheme="minorHAnsi"/>
          <w:b/>
          <w:bCs/>
          <w:lang w:eastAsia="en-US"/>
        </w:rPr>
        <w:t>i</w:t>
      </w:r>
      <w:r w:rsidR="006F70D4" w:rsidRPr="006F70D4">
        <w:rPr>
          <w:rFonts w:eastAsiaTheme="minorHAnsi"/>
          <w:b/>
          <w:bCs/>
          <w:lang w:eastAsia="en-US"/>
        </w:rPr>
        <w:t xml:space="preserve">zelési és karbantartási szolgáltatást azon ügyfeleinek, akik a 2022 nyarán indult versenyfelügyeleti eljárással érintett pályázat keretében </w:t>
      </w:r>
      <w:r w:rsidR="00A321F7">
        <w:rPr>
          <w:rFonts w:eastAsiaTheme="minorHAnsi"/>
          <w:b/>
          <w:bCs/>
          <w:lang w:eastAsia="en-US"/>
        </w:rPr>
        <w:t xml:space="preserve">eredetileg vele szerződtek </w:t>
      </w:r>
      <w:r w:rsidR="006F70D4" w:rsidRPr="006F70D4">
        <w:rPr>
          <w:rFonts w:eastAsiaTheme="minorHAnsi"/>
          <w:b/>
          <w:bCs/>
          <w:lang w:eastAsia="en-US"/>
        </w:rPr>
        <w:t>napelemrendszer</w:t>
      </w:r>
      <w:r w:rsidR="00A321F7">
        <w:rPr>
          <w:rFonts w:eastAsiaTheme="minorHAnsi"/>
          <w:b/>
          <w:bCs/>
          <w:lang w:eastAsia="en-US"/>
        </w:rPr>
        <w:t xml:space="preserve"> telepítésre</w:t>
      </w:r>
      <w:r w:rsidR="006F70D4" w:rsidRPr="006F70D4">
        <w:rPr>
          <w:rFonts w:eastAsiaTheme="minorHAnsi"/>
          <w:b/>
          <w:bCs/>
          <w:lang w:eastAsia="en-US"/>
        </w:rPr>
        <w:t>. Ez összesen több</w:t>
      </w:r>
      <w:r w:rsidR="008B5571">
        <w:rPr>
          <w:rFonts w:eastAsiaTheme="minorHAnsi"/>
          <w:b/>
          <w:bCs/>
          <w:lang w:eastAsia="en-US"/>
        </w:rPr>
        <w:t>,</w:t>
      </w:r>
      <w:r w:rsidR="006F70D4" w:rsidRPr="006F70D4">
        <w:rPr>
          <w:rFonts w:eastAsiaTheme="minorHAnsi"/>
          <w:b/>
          <w:bCs/>
          <w:lang w:eastAsia="en-US"/>
        </w:rPr>
        <w:t xml:space="preserve"> mint 72 millió forintos közvetlen kompenzációt jelent az érintett fogyasztóknak</w:t>
      </w:r>
      <w:r w:rsidR="007200C4">
        <w:rPr>
          <w:rFonts w:eastAsiaTheme="minorHAnsi"/>
          <w:b/>
          <w:bCs/>
          <w:lang w:eastAsia="en-US"/>
        </w:rPr>
        <w:t xml:space="preserve"> úgy, hogy nem kell fizetniük 3 évig a cég által felajánlott szolgáltatásért</w:t>
      </w:r>
      <w:r w:rsidR="006F70D4" w:rsidRPr="006F70D4">
        <w:rPr>
          <w:rFonts w:eastAsiaTheme="minorHAnsi"/>
          <w:b/>
          <w:bCs/>
          <w:lang w:eastAsia="en-US"/>
        </w:rPr>
        <w:t>. Az önkéntes kötelezettségvállalásnak köszönhetően a GVH Versenytanácsa nem állapított meg jogsértést.</w:t>
      </w:r>
    </w:p>
    <w:p w14:paraId="63E863C5" w14:textId="7F088067" w:rsidR="006F70D4" w:rsidRPr="006F70D4" w:rsidRDefault="00396409" w:rsidP="00352001">
      <w:pPr>
        <w:spacing w:after="120" w:line="264" w:lineRule="auto"/>
        <w:rPr>
          <w:rFonts w:eastAsiaTheme="minorHAnsi"/>
          <w:lang w:eastAsia="en-US"/>
        </w:rPr>
      </w:pPr>
      <w:hyperlink r:id="rId8" w:history="1">
        <w:r w:rsidR="006F70D4" w:rsidRPr="006F70D4">
          <w:rPr>
            <w:rFonts w:eastAsiaTheme="minorHAnsi"/>
            <w:color w:val="0563C1" w:themeColor="hyperlink"/>
            <w:u w:val="single"/>
            <w:lang w:eastAsia="en-US"/>
          </w:rPr>
          <w:t>A Gazdasági Versenyhivatal 2022 júliusában indított vizsgálatot</w:t>
        </w:r>
      </w:hyperlink>
      <w:r w:rsidR="006F70D4" w:rsidRPr="006F70D4">
        <w:rPr>
          <w:rFonts w:eastAsiaTheme="minorHAnsi"/>
          <w:lang w:eastAsia="en-US"/>
        </w:rPr>
        <w:t xml:space="preserve"> a napelemek telepítésével foglalkozó EU-SOLAR Kereskedelmi és Szolgáltató Nyrt.-vel szemben, mert a gyanú szerint a cég megtévesztő módon kommunikálta a lakossági napelem-pályázatok költségmentes előkészítését, illetve kifogásolhatóan hirdette a pályázat keretében általa telepített rendszerek költségmentességét.</w:t>
      </w:r>
    </w:p>
    <w:p w14:paraId="654878A5" w14:textId="686C1BBB" w:rsidR="006F70D4" w:rsidRPr="006F70D4" w:rsidRDefault="006F70D4" w:rsidP="00352001">
      <w:pPr>
        <w:spacing w:after="120" w:line="264" w:lineRule="auto"/>
        <w:rPr>
          <w:rFonts w:eastAsiaTheme="minorHAnsi"/>
          <w:lang w:eastAsia="en-US"/>
        </w:rPr>
      </w:pPr>
      <w:r w:rsidRPr="006F70D4">
        <w:rPr>
          <w:rFonts w:eastAsiaTheme="minorHAnsi"/>
          <w:lang w:eastAsia="en-US"/>
        </w:rPr>
        <w:t xml:space="preserve">A GVH eljárása </w:t>
      </w:r>
      <w:r w:rsidR="007200C4">
        <w:rPr>
          <w:rFonts w:eastAsiaTheme="minorHAnsi"/>
          <w:lang w:eastAsia="en-US"/>
        </w:rPr>
        <w:t xml:space="preserve">a cég </w:t>
      </w:r>
      <w:r w:rsidRPr="006F70D4">
        <w:rPr>
          <w:rFonts w:eastAsiaTheme="minorHAnsi"/>
          <w:lang w:eastAsia="en-US"/>
        </w:rPr>
        <w:t>kötelezettségvállalás</w:t>
      </w:r>
      <w:r w:rsidR="007200C4">
        <w:rPr>
          <w:rFonts w:eastAsiaTheme="minorHAnsi"/>
          <w:lang w:eastAsia="en-US"/>
        </w:rPr>
        <w:t>áv</w:t>
      </w:r>
      <w:r w:rsidRPr="006F70D4">
        <w:rPr>
          <w:rFonts w:eastAsiaTheme="minorHAnsi"/>
          <w:lang w:eastAsia="en-US"/>
        </w:rPr>
        <w:t>al zárult. A</w:t>
      </w:r>
      <w:r w:rsidR="001A0184">
        <w:rPr>
          <w:rFonts w:eastAsiaTheme="minorHAnsi"/>
          <w:lang w:eastAsia="en-US"/>
        </w:rPr>
        <w:t>z</w:t>
      </w:r>
      <w:r w:rsidRPr="006F70D4">
        <w:rPr>
          <w:rFonts w:eastAsiaTheme="minorHAnsi"/>
          <w:lang w:eastAsia="en-US"/>
        </w:rPr>
        <w:t xml:space="preserve"> EU-SOLAR vállalta, hogy valamennyi, a versenyfelügyeleti eljárással érintett pályázat keretében napelemrendszerhez jutott </w:t>
      </w:r>
      <w:r w:rsidR="007200C4">
        <w:rPr>
          <w:rFonts w:eastAsiaTheme="minorHAnsi"/>
          <w:lang w:eastAsia="en-US"/>
        </w:rPr>
        <w:t xml:space="preserve">vagy </w:t>
      </w:r>
      <w:r w:rsidRPr="006F70D4">
        <w:rPr>
          <w:rFonts w:eastAsiaTheme="minorHAnsi"/>
          <w:lang w:eastAsia="en-US"/>
        </w:rPr>
        <w:t>jutó azon ügyfele (ideértve a még teljesítésre kerülő függő projektek ügyfeleit is) számára, a</w:t>
      </w:r>
      <w:r w:rsidR="001A0184">
        <w:rPr>
          <w:rFonts w:eastAsiaTheme="minorHAnsi"/>
          <w:lang w:eastAsia="en-US"/>
        </w:rPr>
        <w:t>kik</w:t>
      </w:r>
      <w:r w:rsidRPr="006F70D4">
        <w:rPr>
          <w:rFonts w:eastAsiaTheme="minorHAnsi"/>
          <w:lang w:eastAsia="en-US"/>
        </w:rPr>
        <w:t xml:space="preserve"> a pályázatuk benyújtásakor eredetileg az EU-SOLAR</w:t>
      </w:r>
      <w:r w:rsidR="00C94731">
        <w:rPr>
          <w:rFonts w:eastAsiaTheme="minorHAnsi"/>
          <w:lang w:eastAsia="en-US"/>
        </w:rPr>
        <w:t>,</w:t>
      </w:r>
      <w:r w:rsidRPr="006F70D4">
        <w:rPr>
          <w:rFonts w:eastAsiaTheme="minorHAnsi"/>
          <w:lang w:eastAsia="en-US"/>
        </w:rPr>
        <w:t xml:space="preserve"> mint kivitelező közreműködésével kezdték meg a projektjüket, három évig ingyenesen nyújtja a „Távfelügyelet” megnevezésű napelem</w:t>
      </w:r>
      <w:r w:rsidR="006F2818">
        <w:rPr>
          <w:rFonts w:eastAsiaTheme="minorHAnsi"/>
          <w:lang w:eastAsia="en-US"/>
        </w:rPr>
        <w:t>-</w:t>
      </w:r>
      <w:r w:rsidRPr="006F70D4">
        <w:rPr>
          <w:rFonts w:eastAsiaTheme="minorHAnsi"/>
          <w:lang w:eastAsia="en-US"/>
        </w:rPr>
        <w:t>szerv</w:t>
      </w:r>
      <w:r w:rsidR="004D4DFD">
        <w:rPr>
          <w:rFonts w:eastAsiaTheme="minorHAnsi"/>
          <w:lang w:eastAsia="en-US"/>
        </w:rPr>
        <w:t>i</w:t>
      </w:r>
      <w:r w:rsidRPr="006F70D4">
        <w:rPr>
          <w:rFonts w:eastAsiaTheme="minorHAnsi"/>
          <w:lang w:eastAsia="en-US"/>
        </w:rPr>
        <w:t>zelési és -karbantartási szolgáltatáscsomagját.</w:t>
      </w:r>
    </w:p>
    <w:p w14:paraId="28494A5A" w14:textId="16D56160" w:rsidR="006F70D4" w:rsidRPr="006F70D4" w:rsidRDefault="006F70D4" w:rsidP="00352001">
      <w:pPr>
        <w:spacing w:after="120" w:line="264" w:lineRule="auto"/>
        <w:rPr>
          <w:rFonts w:eastAsiaTheme="minorHAnsi"/>
          <w:lang w:eastAsia="en-US"/>
        </w:rPr>
      </w:pPr>
      <w:r w:rsidRPr="006F70D4">
        <w:rPr>
          <w:rFonts w:eastAsiaTheme="minorHAnsi"/>
          <w:lang w:eastAsia="en-US"/>
        </w:rPr>
        <w:t>A kötelezettségvállalás összesen 160</w:t>
      </w:r>
      <w:r w:rsidR="007200C4">
        <w:rPr>
          <w:rFonts w:eastAsiaTheme="minorHAnsi"/>
          <w:lang w:eastAsia="en-US"/>
        </w:rPr>
        <w:t>7</w:t>
      </w:r>
      <w:r w:rsidRPr="006F70D4">
        <w:rPr>
          <w:rFonts w:eastAsiaTheme="minorHAnsi"/>
          <w:lang w:eastAsia="en-US"/>
        </w:rPr>
        <w:t xml:space="preserve"> ügyfelet érint, a vállalt kompenzációs csomag értéke pedig </w:t>
      </w:r>
      <w:r w:rsidR="007200C4">
        <w:rPr>
          <w:rFonts w:eastAsiaTheme="minorHAnsi"/>
          <w:lang w:eastAsia="en-US"/>
        </w:rPr>
        <w:t>ügyfelenként</w:t>
      </w:r>
      <w:r w:rsidR="007200C4" w:rsidRPr="006F70D4">
        <w:rPr>
          <w:rFonts w:eastAsiaTheme="minorHAnsi"/>
          <w:lang w:eastAsia="en-US"/>
        </w:rPr>
        <w:t xml:space="preserve"> </w:t>
      </w:r>
      <w:r w:rsidRPr="006F70D4">
        <w:rPr>
          <w:rFonts w:eastAsiaTheme="minorHAnsi"/>
          <w:lang w:eastAsia="en-US"/>
        </w:rPr>
        <w:t>három évre mintegy 45 ezer forint. Így a GVH vizsgálatának eredményeként a fogyasztók számára elért kompenzáció összértéke meghaladja a 72 millió forintot. A cég által önként vállalt kötelezettségvállalás pontos</w:t>
      </w:r>
      <w:r w:rsidR="001A0184">
        <w:rPr>
          <w:rFonts w:eastAsiaTheme="minorHAnsi"/>
          <w:lang w:eastAsia="en-US"/>
        </w:rPr>
        <w:t xml:space="preserve"> és maradéktalan</w:t>
      </w:r>
      <w:r w:rsidRPr="006F70D4">
        <w:rPr>
          <w:rFonts w:eastAsiaTheme="minorHAnsi"/>
          <w:lang w:eastAsia="en-US"/>
        </w:rPr>
        <w:t xml:space="preserve"> végrehajtását a GVH utóvizsgálatban ellenőrizni fogja. </w:t>
      </w:r>
    </w:p>
    <w:p w14:paraId="49B3EF68" w14:textId="080F4A91" w:rsidR="00AA6119" w:rsidRDefault="006F70D4" w:rsidP="00AA6119">
      <w:pPr>
        <w:spacing w:after="120" w:line="264" w:lineRule="auto"/>
        <w:rPr>
          <w:rFonts w:eastAsiaTheme="minorHAnsi"/>
          <w:lang w:eastAsia="en-US"/>
        </w:rPr>
      </w:pPr>
      <w:r w:rsidRPr="006F70D4">
        <w:rPr>
          <w:rFonts w:eastAsiaTheme="minorHAnsi"/>
          <w:lang w:eastAsia="en-US"/>
        </w:rPr>
        <w:t>A GVH Versenytanácsa az eljárás során nem állapított meg jogsértést, és többek között azért döntött a cég által felajánlott</w:t>
      </w:r>
      <w:r w:rsidR="0026643E">
        <w:rPr>
          <w:rFonts w:eastAsiaTheme="minorHAnsi"/>
          <w:lang w:eastAsia="en-US"/>
        </w:rPr>
        <w:t xml:space="preserve"> fogyasztói kompenzációt tartalmazó</w:t>
      </w:r>
      <w:r w:rsidRPr="006F70D4">
        <w:rPr>
          <w:rFonts w:eastAsiaTheme="minorHAnsi"/>
          <w:lang w:eastAsia="en-US"/>
        </w:rPr>
        <w:t xml:space="preserve"> kötelezettségvállalás elfogadása mellett, mert az EU-SOLAR végig együttműködő volt az eljárás során, módosított a kifogásolt kommunikációs gyakorlatán és belső eljárásrend </w:t>
      </w:r>
      <w:r w:rsidR="0026643E">
        <w:rPr>
          <w:rFonts w:eastAsiaTheme="minorHAnsi"/>
          <w:lang w:eastAsia="en-US"/>
        </w:rPr>
        <w:t>be</w:t>
      </w:r>
      <w:r w:rsidRPr="006F70D4">
        <w:rPr>
          <w:rFonts w:eastAsiaTheme="minorHAnsi"/>
          <w:lang w:eastAsia="en-US"/>
        </w:rPr>
        <w:t>vezet</w:t>
      </w:r>
      <w:r w:rsidR="0026643E">
        <w:rPr>
          <w:rFonts w:eastAsiaTheme="minorHAnsi"/>
          <w:lang w:eastAsia="en-US"/>
        </w:rPr>
        <w:t>ését vállalta</w:t>
      </w:r>
      <w:r w:rsidRPr="006F70D4">
        <w:rPr>
          <w:rFonts w:eastAsiaTheme="minorHAnsi"/>
          <w:lang w:eastAsia="en-US"/>
        </w:rPr>
        <w:t xml:space="preserve"> </w:t>
      </w:r>
      <w:r w:rsidR="00AA6119" w:rsidRPr="00AA6119">
        <w:rPr>
          <w:rFonts w:eastAsiaTheme="minorHAnsi"/>
          <w:lang w:eastAsia="en-US"/>
        </w:rPr>
        <w:t>az esetleges hasonló aggályok jövőbe</w:t>
      </w:r>
      <w:r w:rsidR="00AA6119">
        <w:rPr>
          <w:rFonts w:eastAsiaTheme="minorHAnsi"/>
          <w:lang w:eastAsia="en-US"/>
        </w:rPr>
        <w:t>l</w:t>
      </w:r>
      <w:r w:rsidR="00AA6119" w:rsidRPr="00AA6119">
        <w:rPr>
          <w:rFonts w:eastAsiaTheme="minorHAnsi"/>
          <w:lang w:eastAsia="en-US"/>
        </w:rPr>
        <w:t>i elkerülése érdekében. Továbbá a cég korábban sem követett el versenyjogi jogsértést.</w:t>
      </w:r>
    </w:p>
    <w:p w14:paraId="4F0B584C" w14:textId="504A2F28" w:rsidR="006F70D4" w:rsidRPr="006F70D4" w:rsidRDefault="006F70D4" w:rsidP="00352001">
      <w:pPr>
        <w:spacing w:after="120" w:line="264" w:lineRule="auto"/>
        <w:rPr>
          <w:rFonts w:eastAsiaTheme="minorHAnsi"/>
          <w:lang w:eastAsia="en-US"/>
        </w:rPr>
      </w:pPr>
      <w:r w:rsidRPr="006F70D4">
        <w:rPr>
          <w:rFonts w:eastAsiaTheme="minorHAnsi"/>
          <w:lang w:eastAsia="en-US"/>
        </w:rPr>
        <w:t xml:space="preserve">Az ügy kapcsán a GVH arra hívja fel a vállalkozások figyelmét, hogy </w:t>
      </w:r>
      <w:r w:rsidR="002D579D">
        <w:rPr>
          <w:rFonts w:eastAsiaTheme="minorHAnsi"/>
          <w:lang w:eastAsia="en-US"/>
        </w:rPr>
        <w:t xml:space="preserve">adott esetben </w:t>
      </w:r>
      <w:r w:rsidRPr="006F70D4">
        <w:rPr>
          <w:rFonts w:eastAsiaTheme="minorHAnsi"/>
          <w:lang w:eastAsia="en-US"/>
        </w:rPr>
        <w:t xml:space="preserve">érdemes </w:t>
      </w:r>
      <w:r w:rsidR="007200C4">
        <w:rPr>
          <w:rFonts w:eastAsiaTheme="minorHAnsi"/>
          <w:lang w:eastAsia="en-US"/>
        </w:rPr>
        <w:t xml:space="preserve">mérlegelni </w:t>
      </w:r>
      <w:r w:rsidRPr="006F70D4">
        <w:rPr>
          <w:rFonts w:eastAsiaTheme="minorHAnsi"/>
          <w:lang w:eastAsia="en-US"/>
        </w:rPr>
        <w:t>a nemzeti versenyhatósággal</w:t>
      </w:r>
      <w:r w:rsidR="007200C4">
        <w:rPr>
          <w:rFonts w:eastAsiaTheme="minorHAnsi"/>
          <w:lang w:eastAsia="en-US"/>
        </w:rPr>
        <w:t xml:space="preserve"> történő együttműködést, melyre</w:t>
      </w:r>
      <w:r w:rsidRPr="006F70D4">
        <w:rPr>
          <w:rFonts w:eastAsiaTheme="minorHAnsi"/>
          <w:lang w:eastAsia="en-US"/>
        </w:rPr>
        <w:t xml:space="preserve"> több lehetőség is kínálkozi</w:t>
      </w:r>
      <w:r w:rsidR="001A0184">
        <w:rPr>
          <w:rFonts w:eastAsiaTheme="minorHAnsi"/>
          <w:lang w:eastAsia="en-US"/>
        </w:rPr>
        <w:t>k. A versenykorlátozó megállapodásokban részes cégek engedékenységi kérelemmel fordulhatnak a GVH-hoz, mely</w:t>
      </w:r>
      <w:r w:rsidR="002D579D">
        <w:rPr>
          <w:rFonts w:eastAsiaTheme="minorHAnsi"/>
          <w:lang w:eastAsia="en-US"/>
        </w:rPr>
        <w:t>nek</w:t>
      </w:r>
      <w:r w:rsidR="001A0184">
        <w:rPr>
          <w:rFonts w:eastAsiaTheme="minorHAnsi"/>
          <w:lang w:eastAsia="en-US"/>
        </w:rPr>
        <w:t xml:space="preserve"> keretében bírság </w:t>
      </w:r>
      <w:r w:rsidR="007200C4">
        <w:rPr>
          <w:rFonts w:eastAsiaTheme="minorHAnsi"/>
          <w:lang w:eastAsia="en-US"/>
        </w:rPr>
        <w:t xml:space="preserve">csökkentésben </w:t>
      </w:r>
      <w:r w:rsidR="001A0184">
        <w:rPr>
          <w:rFonts w:eastAsiaTheme="minorHAnsi"/>
          <w:lang w:eastAsia="en-US"/>
        </w:rPr>
        <w:t xml:space="preserve">részesülhetnek. </w:t>
      </w:r>
      <w:r w:rsidR="007200C4">
        <w:rPr>
          <w:rFonts w:eastAsiaTheme="minorHAnsi"/>
          <w:lang w:eastAsia="en-US"/>
        </w:rPr>
        <w:t xml:space="preserve">Az </w:t>
      </w:r>
      <w:r w:rsidR="001A0184">
        <w:rPr>
          <w:rFonts w:eastAsiaTheme="minorHAnsi"/>
          <w:lang w:eastAsia="en-US"/>
        </w:rPr>
        <w:t>önkéntes kötelezettségvál</w:t>
      </w:r>
      <w:r w:rsidR="00AA6791">
        <w:rPr>
          <w:rFonts w:eastAsiaTheme="minorHAnsi"/>
          <w:lang w:eastAsia="en-US"/>
        </w:rPr>
        <w:t>l</w:t>
      </w:r>
      <w:r w:rsidR="001A0184">
        <w:rPr>
          <w:rFonts w:eastAsiaTheme="minorHAnsi"/>
          <w:lang w:eastAsia="en-US"/>
        </w:rPr>
        <w:t>alással</w:t>
      </w:r>
      <w:r w:rsidR="007200C4">
        <w:rPr>
          <w:rFonts w:eastAsiaTheme="minorHAnsi"/>
          <w:lang w:eastAsia="en-US"/>
        </w:rPr>
        <w:t xml:space="preserve"> </w:t>
      </w:r>
      <w:r w:rsidR="002D579D">
        <w:rPr>
          <w:rFonts w:eastAsiaTheme="minorHAnsi"/>
          <w:lang w:eastAsia="en-US"/>
        </w:rPr>
        <w:t xml:space="preserve">bizonyos feltételek teljesülése esetén </w:t>
      </w:r>
      <w:r w:rsidR="007200C4">
        <w:rPr>
          <w:rFonts w:eastAsiaTheme="minorHAnsi"/>
          <w:lang w:eastAsia="en-US"/>
        </w:rPr>
        <w:t>jogsértés megállapítását is elkerülheti egy cég</w:t>
      </w:r>
      <w:r w:rsidR="00AA6791">
        <w:rPr>
          <w:rFonts w:eastAsiaTheme="minorHAnsi"/>
          <w:lang w:eastAsia="en-US"/>
        </w:rPr>
        <w:t xml:space="preserve">. </w:t>
      </w:r>
      <w:r w:rsidR="007200C4">
        <w:rPr>
          <w:rFonts w:eastAsiaTheme="minorHAnsi"/>
          <w:lang w:eastAsia="en-US"/>
        </w:rPr>
        <w:t>B</w:t>
      </w:r>
      <w:r w:rsidR="00AA6791">
        <w:rPr>
          <w:rFonts w:eastAsiaTheme="minorHAnsi"/>
          <w:lang w:eastAsia="en-US"/>
        </w:rPr>
        <w:t>írságkedvezményekben részesülhetnek a vállalkozások tevőleges jóvátétel alkalmazásával, egyezségi eljárás keretében, érdemi megfelelési erőfeszítéseken és további lényeges együttműködéseken keresztül.</w:t>
      </w:r>
    </w:p>
    <w:p w14:paraId="0147293D" w14:textId="48FFF124" w:rsidR="006F70D4" w:rsidRPr="006F70D4" w:rsidRDefault="006F70D4" w:rsidP="00352001">
      <w:pPr>
        <w:spacing w:after="120" w:line="264" w:lineRule="auto"/>
        <w:rPr>
          <w:rFonts w:eastAsiaTheme="minorHAnsi"/>
          <w:i/>
          <w:iCs/>
          <w:lang w:eastAsia="en-US"/>
        </w:rPr>
      </w:pPr>
      <w:r w:rsidRPr="006F70D4">
        <w:rPr>
          <w:rFonts w:eastAsiaTheme="minorHAnsi"/>
          <w:lang w:eastAsia="en-US"/>
        </w:rPr>
        <w:t>Rigó Csaba Balázs, a GVH elnöke rámutatott</w:t>
      </w:r>
      <w:r w:rsidRPr="006F70D4">
        <w:rPr>
          <w:rFonts w:eastAsiaTheme="minorHAnsi"/>
          <w:i/>
          <w:iCs/>
          <w:lang w:eastAsia="en-US"/>
        </w:rPr>
        <w:t>: „</w:t>
      </w:r>
      <w:r w:rsidR="002D579D">
        <w:rPr>
          <w:rFonts w:eastAsiaTheme="minorHAnsi"/>
          <w:i/>
          <w:iCs/>
          <w:lang w:eastAsia="en-US"/>
        </w:rPr>
        <w:t>A nemzeti versenyhatósággal történő</w:t>
      </w:r>
      <w:r w:rsidRPr="006F70D4">
        <w:rPr>
          <w:rFonts w:eastAsiaTheme="minorHAnsi"/>
          <w:i/>
          <w:iCs/>
          <w:lang w:eastAsia="en-US"/>
        </w:rPr>
        <w:t xml:space="preserve"> együttműködés</w:t>
      </w:r>
      <w:r w:rsidR="002D579D">
        <w:rPr>
          <w:rFonts w:eastAsiaTheme="minorHAnsi"/>
          <w:i/>
          <w:iCs/>
          <w:lang w:eastAsia="en-US"/>
        </w:rPr>
        <w:t xml:space="preserve"> hozzájárul</w:t>
      </w:r>
      <w:r w:rsidR="005229F0">
        <w:rPr>
          <w:rFonts w:eastAsiaTheme="minorHAnsi"/>
          <w:i/>
          <w:iCs/>
          <w:lang w:eastAsia="en-US"/>
        </w:rPr>
        <w:t>hat</w:t>
      </w:r>
      <w:r w:rsidR="002D579D">
        <w:rPr>
          <w:rFonts w:eastAsiaTheme="minorHAnsi"/>
          <w:i/>
          <w:iCs/>
          <w:lang w:eastAsia="en-US"/>
        </w:rPr>
        <w:t xml:space="preserve"> a munkahelyek megőrzéséhez és a gazdasági növekedés helyreállításához. Az együttműködés</w:t>
      </w:r>
      <w:r w:rsidRPr="006F70D4">
        <w:rPr>
          <w:rFonts w:eastAsiaTheme="minorHAnsi"/>
          <w:i/>
          <w:iCs/>
          <w:lang w:eastAsia="en-US"/>
        </w:rPr>
        <w:t xml:space="preserve"> jóhiszemű, tényleges és folyamatos </w:t>
      </w:r>
      <w:r w:rsidR="002D579D">
        <w:rPr>
          <w:rFonts w:eastAsiaTheme="minorHAnsi"/>
          <w:i/>
          <w:iCs/>
          <w:lang w:eastAsia="en-US"/>
        </w:rPr>
        <w:t xml:space="preserve">kell, hogy </w:t>
      </w:r>
      <w:r w:rsidRPr="006F70D4">
        <w:rPr>
          <w:rFonts w:eastAsiaTheme="minorHAnsi"/>
          <w:i/>
          <w:iCs/>
          <w:lang w:eastAsia="en-US"/>
        </w:rPr>
        <w:t>legyen. Az eljárás alá vontak vállalásai valós módon és jelentős mértékben korrigálhatják a piac torzulását és a fogyasztók kárát.”</w:t>
      </w:r>
      <w:r w:rsidRPr="006F70D4">
        <w:rPr>
          <w:rFonts w:eastAsiaTheme="minorHAnsi"/>
          <w:lang w:eastAsia="en-US"/>
        </w:rPr>
        <w:t xml:space="preserve"> Kiemelte azt is, hogy </w:t>
      </w:r>
      <w:r w:rsidRPr="006F70D4">
        <w:rPr>
          <w:rFonts w:eastAsiaTheme="minorHAnsi"/>
          <w:i/>
          <w:iCs/>
          <w:lang w:eastAsia="en-US"/>
        </w:rPr>
        <w:t>„a GVH következetesen vizsgálja a kötelezettségvállalások teljesítését.”</w:t>
      </w:r>
    </w:p>
    <w:p w14:paraId="2205C388" w14:textId="231ACD82" w:rsidR="006F70D4" w:rsidRDefault="006F70D4" w:rsidP="00352001">
      <w:pPr>
        <w:spacing w:after="120" w:line="264" w:lineRule="auto"/>
        <w:rPr>
          <w:rFonts w:eastAsiaTheme="minorHAnsi"/>
          <w:lang w:eastAsia="en-US"/>
        </w:rPr>
      </w:pPr>
      <w:r w:rsidRPr="006F70D4">
        <w:rPr>
          <w:rFonts w:eastAsiaTheme="minorHAnsi"/>
          <w:lang w:eastAsia="en-US"/>
        </w:rPr>
        <w:lastRenderedPageBreak/>
        <w:t xml:space="preserve">A Gazdasági Versenyhivatallal fennálló együttműködési lehetőségek feltételei, részletei és az együttműködéseken keresztül kapható engedmények a </w:t>
      </w:r>
      <w:hyperlink r:id="rId9" w:history="1">
        <w:r w:rsidRPr="006F70D4">
          <w:rPr>
            <w:rFonts w:eastAsiaTheme="minorHAnsi"/>
            <w:color w:val="0000FF"/>
            <w:u w:val="single"/>
            <w:lang w:eastAsia="en-US"/>
          </w:rPr>
          <w:t>GHV honlapján elérhetőek</w:t>
        </w:r>
      </w:hyperlink>
      <w:r w:rsidRPr="006F70D4">
        <w:rPr>
          <w:rFonts w:eastAsiaTheme="minorHAnsi"/>
          <w:lang w:eastAsia="en-US"/>
        </w:rPr>
        <w:t>.</w:t>
      </w:r>
    </w:p>
    <w:p w14:paraId="564AC320" w14:textId="21F69D25" w:rsidR="00A77466" w:rsidRPr="006F70D4" w:rsidRDefault="00A77466" w:rsidP="00352001">
      <w:pPr>
        <w:spacing w:after="120" w:line="264" w:lineRule="auto"/>
        <w:rPr>
          <w:rFonts w:eastAsiaTheme="minorHAnsi"/>
          <w:lang w:eastAsia="en-US"/>
        </w:rPr>
      </w:pPr>
      <w:r w:rsidRPr="00A77466">
        <w:rPr>
          <w:rFonts w:eastAsiaTheme="minorHAnsi"/>
          <w:lang w:eastAsia="en-US"/>
        </w:rPr>
        <w:t xml:space="preserve">Az ügy hivatali nyilvántartási száma: </w:t>
      </w:r>
      <w:r w:rsidRPr="00A77466">
        <w:rPr>
          <w:rFonts w:eastAsiaTheme="minorHAnsi"/>
          <w:b/>
          <w:bCs/>
          <w:lang w:eastAsia="en-US"/>
        </w:rPr>
        <w:t>VJ/</w:t>
      </w:r>
      <w:r>
        <w:rPr>
          <w:rFonts w:eastAsiaTheme="minorHAnsi"/>
          <w:b/>
          <w:bCs/>
          <w:lang w:eastAsia="en-US"/>
        </w:rPr>
        <w:t>26</w:t>
      </w:r>
      <w:r w:rsidRPr="00A77466">
        <w:rPr>
          <w:rFonts w:eastAsiaTheme="minorHAnsi"/>
          <w:b/>
          <w:bCs/>
          <w:lang w:eastAsia="en-US"/>
        </w:rPr>
        <w:t>/2022.</w:t>
      </w:r>
    </w:p>
    <w:p w14:paraId="4975C93D" w14:textId="74E1591A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5886B339" w:rsidR="002A426E" w:rsidRDefault="00361831" w:rsidP="004F59B4">
      <w:pPr>
        <w:spacing w:after="0"/>
      </w:pPr>
      <w:r>
        <w:t>Gondolovics Katalin, sajtószóvivő +36 30 603 1170</w:t>
      </w:r>
    </w:p>
    <w:sectPr w:rsidR="002A426E" w:rsidSect="00A77466"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F0E7E" w14:textId="77777777" w:rsidR="009259A9" w:rsidRDefault="009259A9">
      <w:pPr>
        <w:spacing w:after="0" w:line="240" w:lineRule="auto"/>
      </w:pPr>
      <w:r>
        <w:separator/>
      </w:r>
    </w:p>
  </w:endnote>
  <w:endnote w:type="continuationSeparator" w:id="0">
    <w:p w14:paraId="67B35E98" w14:textId="77777777" w:rsidR="009259A9" w:rsidRDefault="0092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A2753E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2664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C3B6" w14:textId="77777777" w:rsidR="00656BFA" w:rsidRDefault="00656BFA">
    <w:pPr>
      <w:tabs>
        <w:tab w:val="left" w:pos="3226"/>
      </w:tabs>
      <w:rPr>
        <w:rFonts w:eastAsia="Arial"/>
        <w:sz w:val="20"/>
        <w:szCs w:val="20"/>
      </w:rPr>
    </w:pPr>
  </w:p>
  <w:p w14:paraId="26D6C2FF" w14:textId="419345B3" w:rsidR="00A2753E" w:rsidRPr="007B72F1" w:rsidRDefault="00736F52">
    <w:pPr>
      <w:tabs>
        <w:tab w:val="left" w:pos="3226"/>
      </w:tabs>
      <w:rPr>
        <w:sz w:val="20"/>
        <w:szCs w:val="20"/>
      </w:rPr>
    </w:pPr>
    <w:r w:rsidRPr="007B72F1">
      <w:rPr>
        <w:rFonts w:eastAsia="Arial"/>
        <w:sz w:val="20"/>
        <w:szCs w:val="20"/>
      </w:rPr>
      <w:t>1026 Budapest, Riadó u. 1-3.</w:t>
    </w:r>
    <w:r w:rsidRPr="007B72F1">
      <w:rPr>
        <w:rFonts w:eastAsia="Arial"/>
        <w:sz w:val="20"/>
        <w:szCs w:val="20"/>
      </w:rPr>
      <w:tab/>
    </w:r>
    <w:r w:rsidRPr="007B72F1">
      <w:rPr>
        <w:rFonts w:eastAsia="Arial"/>
        <w:sz w:val="20"/>
        <w:szCs w:val="20"/>
      </w:rPr>
      <w:tab/>
    </w:r>
    <w:r w:rsidRPr="007B72F1">
      <w:rPr>
        <w:rFonts w:eastAsia="Arial"/>
        <w:sz w:val="20"/>
        <w:szCs w:val="20"/>
      </w:rPr>
      <w:tab/>
    </w:r>
    <w:r w:rsidRPr="007B72F1">
      <w:rPr>
        <w:rFonts w:eastAsia="Arial"/>
        <w:sz w:val="20"/>
        <w:szCs w:val="20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5E07" w14:textId="77777777" w:rsidR="009259A9" w:rsidRDefault="009259A9">
      <w:pPr>
        <w:spacing w:after="0" w:line="240" w:lineRule="auto"/>
      </w:pPr>
      <w:r>
        <w:separator/>
      </w:r>
    </w:p>
  </w:footnote>
  <w:footnote w:type="continuationSeparator" w:id="0">
    <w:p w14:paraId="783105BC" w14:textId="77777777" w:rsidR="009259A9" w:rsidRDefault="0092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A2753E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71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46AD"/>
    <w:rsid w:val="00055453"/>
    <w:rsid w:val="00057D8B"/>
    <w:rsid w:val="000870D5"/>
    <w:rsid w:val="000E013D"/>
    <w:rsid w:val="00154E22"/>
    <w:rsid w:val="00166C7F"/>
    <w:rsid w:val="00167743"/>
    <w:rsid w:val="001A0184"/>
    <w:rsid w:val="001A3E80"/>
    <w:rsid w:val="001A45E8"/>
    <w:rsid w:val="001D00E6"/>
    <w:rsid w:val="001F3B47"/>
    <w:rsid w:val="00202D48"/>
    <w:rsid w:val="00206DF4"/>
    <w:rsid w:val="00231909"/>
    <w:rsid w:val="002574F3"/>
    <w:rsid w:val="0026643E"/>
    <w:rsid w:val="002A0E05"/>
    <w:rsid w:val="002A426E"/>
    <w:rsid w:val="002B5D64"/>
    <w:rsid w:val="002C59D6"/>
    <w:rsid w:val="002D579D"/>
    <w:rsid w:val="002D7A9E"/>
    <w:rsid w:val="002E3BB4"/>
    <w:rsid w:val="00335A3A"/>
    <w:rsid w:val="003415C6"/>
    <w:rsid w:val="00352001"/>
    <w:rsid w:val="00361831"/>
    <w:rsid w:val="003931A4"/>
    <w:rsid w:val="00396409"/>
    <w:rsid w:val="003B59D6"/>
    <w:rsid w:val="003C35EB"/>
    <w:rsid w:val="003C51E4"/>
    <w:rsid w:val="003C5434"/>
    <w:rsid w:val="003E675C"/>
    <w:rsid w:val="00424B8A"/>
    <w:rsid w:val="00430D05"/>
    <w:rsid w:val="0045121F"/>
    <w:rsid w:val="0048207F"/>
    <w:rsid w:val="00491BFC"/>
    <w:rsid w:val="004C382C"/>
    <w:rsid w:val="004D4DFD"/>
    <w:rsid w:val="004D72B2"/>
    <w:rsid w:val="004E3CF2"/>
    <w:rsid w:val="004E763E"/>
    <w:rsid w:val="004F164F"/>
    <w:rsid w:val="004F59B4"/>
    <w:rsid w:val="00510FF0"/>
    <w:rsid w:val="005229F0"/>
    <w:rsid w:val="00531D54"/>
    <w:rsid w:val="00537F49"/>
    <w:rsid w:val="00545903"/>
    <w:rsid w:val="005566B7"/>
    <w:rsid w:val="005574B9"/>
    <w:rsid w:val="005A384B"/>
    <w:rsid w:val="005A4856"/>
    <w:rsid w:val="005B31C0"/>
    <w:rsid w:val="005E13E7"/>
    <w:rsid w:val="005E7373"/>
    <w:rsid w:val="005F7B3F"/>
    <w:rsid w:val="00626E97"/>
    <w:rsid w:val="00633625"/>
    <w:rsid w:val="00633DCD"/>
    <w:rsid w:val="00656BFA"/>
    <w:rsid w:val="00662D35"/>
    <w:rsid w:val="00692377"/>
    <w:rsid w:val="006F2818"/>
    <w:rsid w:val="006F70D4"/>
    <w:rsid w:val="007200C4"/>
    <w:rsid w:val="0072038E"/>
    <w:rsid w:val="00721F53"/>
    <w:rsid w:val="00736F52"/>
    <w:rsid w:val="00771B9F"/>
    <w:rsid w:val="007B72F1"/>
    <w:rsid w:val="007E0B83"/>
    <w:rsid w:val="007E12D8"/>
    <w:rsid w:val="007E7FE3"/>
    <w:rsid w:val="008302EE"/>
    <w:rsid w:val="00831E17"/>
    <w:rsid w:val="00835934"/>
    <w:rsid w:val="008927DB"/>
    <w:rsid w:val="008B5571"/>
    <w:rsid w:val="008C44CC"/>
    <w:rsid w:val="008F43F8"/>
    <w:rsid w:val="00904062"/>
    <w:rsid w:val="00905BBD"/>
    <w:rsid w:val="00911946"/>
    <w:rsid w:val="009259A9"/>
    <w:rsid w:val="00933AD1"/>
    <w:rsid w:val="009404D8"/>
    <w:rsid w:val="0096035C"/>
    <w:rsid w:val="00992858"/>
    <w:rsid w:val="009C2511"/>
    <w:rsid w:val="00A127BB"/>
    <w:rsid w:val="00A23ED6"/>
    <w:rsid w:val="00A2753E"/>
    <w:rsid w:val="00A321F7"/>
    <w:rsid w:val="00A32CF1"/>
    <w:rsid w:val="00A45DD3"/>
    <w:rsid w:val="00A56BD4"/>
    <w:rsid w:val="00A577FC"/>
    <w:rsid w:val="00A715B2"/>
    <w:rsid w:val="00A77466"/>
    <w:rsid w:val="00A86AF8"/>
    <w:rsid w:val="00A96E66"/>
    <w:rsid w:val="00AA6119"/>
    <w:rsid w:val="00AA6791"/>
    <w:rsid w:val="00AF1A47"/>
    <w:rsid w:val="00AF7964"/>
    <w:rsid w:val="00B43BC7"/>
    <w:rsid w:val="00B45945"/>
    <w:rsid w:val="00B6413F"/>
    <w:rsid w:val="00BC4099"/>
    <w:rsid w:val="00BE280A"/>
    <w:rsid w:val="00C17311"/>
    <w:rsid w:val="00C4497D"/>
    <w:rsid w:val="00C52750"/>
    <w:rsid w:val="00C87708"/>
    <w:rsid w:val="00C878D4"/>
    <w:rsid w:val="00C9083F"/>
    <w:rsid w:val="00C94731"/>
    <w:rsid w:val="00CA2EBA"/>
    <w:rsid w:val="00CD56C9"/>
    <w:rsid w:val="00CD63D8"/>
    <w:rsid w:val="00D16789"/>
    <w:rsid w:val="00D213C7"/>
    <w:rsid w:val="00D31443"/>
    <w:rsid w:val="00D818C1"/>
    <w:rsid w:val="00D90F9D"/>
    <w:rsid w:val="00DA3CE7"/>
    <w:rsid w:val="00DB1166"/>
    <w:rsid w:val="00DB780D"/>
    <w:rsid w:val="00DC429F"/>
    <w:rsid w:val="00DE2921"/>
    <w:rsid w:val="00E322A5"/>
    <w:rsid w:val="00E43C8E"/>
    <w:rsid w:val="00E45607"/>
    <w:rsid w:val="00E665BD"/>
    <w:rsid w:val="00E761EB"/>
    <w:rsid w:val="00EC4637"/>
    <w:rsid w:val="00EE0B58"/>
    <w:rsid w:val="00F13997"/>
    <w:rsid w:val="00F22CD6"/>
    <w:rsid w:val="00F261FE"/>
    <w:rsid w:val="00F462B2"/>
    <w:rsid w:val="00F4708C"/>
    <w:rsid w:val="00F54D0C"/>
    <w:rsid w:val="00F90B45"/>
    <w:rsid w:val="00F91CE4"/>
    <w:rsid w:val="00F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docId w15:val="{F6FFD92A-87BA-4281-9C85-ADDC158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character" w:customStyle="1" w:styleId="ListaszerbekezdsChar">
    <w:name w:val="Listaszerű bekezdés Char"/>
    <w:aliases w:val="Számozott lista 1 Char,List Paragraph à moi Char,Dot pt Char,No Spacing1 Char,List Paragraph Char Char Char Char,Indicator Text Char,Numbered Para 1 Char,Listaszerű bekezdés 1. szint Char,Számozás Char,Eszeri felsorolás Char"/>
    <w:basedOn w:val="Bekezdsalapbettpusa"/>
    <w:link w:val="Listaszerbekezds"/>
    <w:uiPriority w:val="34"/>
    <w:qFormat/>
    <w:locked/>
    <w:rsid w:val="00231909"/>
  </w:style>
  <w:style w:type="paragraph" w:styleId="Listaszerbekezds">
    <w:name w:val="List Paragraph"/>
    <w:aliases w:val="Számozott lista 1,List Paragraph à moi,Dot pt,No Spacing1,List Paragraph Char Char Char,Indicator Text,Numbered Para 1,Listaszerű bekezdés 1. szint,Számozás,Eszeri felsorolás,lista_2,Welt L Char,Welt L,Bullet List,FooterText,numbered"/>
    <w:basedOn w:val="Norml"/>
    <w:link w:val="ListaszerbekezdsChar"/>
    <w:uiPriority w:val="34"/>
    <w:qFormat/>
    <w:rsid w:val="00231909"/>
    <w:pPr>
      <w:spacing w:after="0" w:line="240" w:lineRule="auto"/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B7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72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B7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72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21F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2-es-sajtokozlemenyek/megteveszthette-egy-ceg-a-napelemre-palyazok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vh.hu/vallalkozasoknak/eljaras-ala-vonta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683C-6C57-44B8-939F-324528A1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541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 Csongor dr.</dc:creator>
  <cp:lastModifiedBy>Varga Andrea</cp:lastModifiedBy>
  <cp:revision>10</cp:revision>
  <dcterms:created xsi:type="dcterms:W3CDTF">2024-03-13T12:50:00Z</dcterms:created>
  <dcterms:modified xsi:type="dcterms:W3CDTF">2024-03-13T15:17:00Z</dcterms:modified>
</cp:coreProperties>
</file>