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CB3" w14:textId="77777777" w:rsidR="007863D5" w:rsidRPr="007863D5" w:rsidRDefault="007863D5" w:rsidP="001D561A">
      <w:pPr>
        <w:spacing w:after="80"/>
        <w:jc w:val="left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47755103"/>
      <w:bookmarkStart w:id="1" w:name="_Hlk150499558"/>
      <w:r w:rsidRPr="007863D5">
        <w:rPr>
          <w:rFonts w:eastAsiaTheme="minorHAnsi"/>
          <w:b/>
          <w:bCs/>
          <w:sz w:val="28"/>
          <w:szCs w:val="28"/>
          <w:lang w:eastAsia="en-US"/>
        </w:rPr>
        <w:t>Nemzetközi fókuszban a „zöld” marketingüzeneteket vizsgáló GVH elemzés</w:t>
      </w:r>
    </w:p>
    <w:p w14:paraId="61B280FD" w14:textId="220A040D" w:rsidR="00861DEF" w:rsidRDefault="007863D5" w:rsidP="001D561A">
      <w:pPr>
        <w:spacing w:after="8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Budapest, 2024. január 2</w:t>
      </w:r>
      <w:r w:rsidR="003C30B9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 xml:space="preserve">. – </w:t>
      </w:r>
      <w:r w:rsidRPr="007863D5">
        <w:rPr>
          <w:rFonts w:eastAsiaTheme="minorHAnsi"/>
          <w:b/>
          <w:bCs/>
          <w:lang w:eastAsia="en-US"/>
        </w:rPr>
        <w:t xml:space="preserve">Nemzetközi szinten is </w:t>
      </w:r>
      <w:proofErr w:type="spellStart"/>
      <w:r w:rsidR="00861DEF">
        <w:rPr>
          <w:rFonts w:eastAsiaTheme="minorHAnsi"/>
          <w:b/>
          <w:bCs/>
          <w:lang w:eastAsia="en-US"/>
        </w:rPr>
        <w:t>előremutató</w:t>
      </w:r>
      <w:r w:rsidR="008E272C">
        <w:rPr>
          <w:rFonts w:eastAsiaTheme="minorHAnsi"/>
          <w:b/>
          <w:bCs/>
          <w:lang w:eastAsia="en-US"/>
        </w:rPr>
        <w:t>a</w:t>
      </w:r>
      <w:r w:rsidR="00861DEF">
        <w:rPr>
          <w:rFonts w:eastAsiaTheme="minorHAnsi"/>
          <w:b/>
          <w:bCs/>
          <w:lang w:eastAsia="en-US"/>
        </w:rPr>
        <w:t>k</w:t>
      </w:r>
      <w:proofErr w:type="spellEnd"/>
      <w:r w:rsidRPr="007863D5">
        <w:rPr>
          <w:rFonts w:eastAsiaTheme="minorHAnsi"/>
          <w:b/>
          <w:bCs/>
          <w:lang w:eastAsia="en-US"/>
        </w:rPr>
        <w:t xml:space="preserve"> a Gazdasági Versenyhivatal (GVH) pia</w:t>
      </w:r>
      <w:r w:rsidR="00497F9C">
        <w:rPr>
          <w:rFonts w:eastAsiaTheme="minorHAnsi"/>
          <w:b/>
          <w:bCs/>
          <w:lang w:eastAsia="en-US"/>
        </w:rPr>
        <w:t>c</w:t>
      </w:r>
      <w:r w:rsidRPr="007863D5">
        <w:rPr>
          <w:rFonts w:eastAsiaTheme="minorHAnsi"/>
          <w:b/>
          <w:bCs/>
          <w:lang w:eastAsia="en-US"/>
        </w:rPr>
        <w:t>elemzés</w:t>
      </w:r>
      <w:r>
        <w:rPr>
          <w:rFonts w:eastAsiaTheme="minorHAnsi"/>
          <w:b/>
          <w:bCs/>
          <w:lang w:eastAsia="en-US"/>
        </w:rPr>
        <w:t>ének megállapításai</w:t>
      </w:r>
      <w:r w:rsidRPr="007863D5">
        <w:rPr>
          <w:rFonts w:eastAsiaTheme="minorHAnsi"/>
          <w:b/>
          <w:bCs/>
          <w:lang w:eastAsia="en-US"/>
        </w:rPr>
        <w:t>, amelyben a versenyhatóság vizsgálói a környezetvédelemhez kötődő állításokat vették górcső alá – derült ki a GVH angol nyelvű workshopján. A január közepén nyilvánosságra hozott</w:t>
      </w:r>
      <w:r>
        <w:rPr>
          <w:rFonts w:eastAsiaTheme="minorHAnsi"/>
          <w:b/>
          <w:bCs/>
          <w:lang w:eastAsia="en-US"/>
        </w:rPr>
        <w:t xml:space="preserve"> </w:t>
      </w:r>
      <w:r w:rsidR="00497F9C">
        <w:rPr>
          <w:rFonts w:eastAsiaTheme="minorHAnsi"/>
          <w:b/>
          <w:bCs/>
          <w:lang w:eastAsia="en-US"/>
        </w:rPr>
        <w:t>tanulmányban</w:t>
      </w:r>
      <w:r w:rsidRPr="007863D5">
        <w:rPr>
          <w:rFonts w:eastAsiaTheme="minorHAnsi"/>
          <w:b/>
          <w:bCs/>
          <w:lang w:eastAsia="en-US"/>
        </w:rPr>
        <w:t xml:space="preserve"> a GVH vizsgálói arra a következtetésre jutottak, hogy sok esetben nem egyértelműek, </w:t>
      </w:r>
      <w:proofErr w:type="spellStart"/>
      <w:r w:rsidRPr="007863D5">
        <w:rPr>
          <w:rFonts w:eastAsiaTheme="minorHAnsi"/>
          <w:b/>
          <w:bCs/>
          <w:lang w:eastAsia="en-US"/>
        </w:rPr>
        <w:t>zavarosak</w:t>
      </w:r>
      <w:proofErr w:type="spellEnd"/>
      <w:r w:rsidRPr="007863D5">
        <w:rPr>
          <w:rFonts w:eastAsiaTheme="minorHAnsi"/>
          <w:b/>
          <w:bCs/>
          <w:lang w:eastAsia="en-US"/>
        </w:rPr>
        <w:t xml:space="preserve"> a </w:t>
      </w:r>
      <w:r w:rsidR="00497F9C">
        <w:rPr>
          <w:rFonts w:eastAsiaTheme="minorHAnsi"/>
          <w:b/>
          <w:bCs/>
          <w:lang w:eastAsia="en-US"/>
        </w:rPr>
        <w:t xml:space="preserve">vállalkozások által alkalmazott </w:t>
      </w:r>
      <w:r w:rsidRPr="007863D5">
        <w:rPr>
          <w:rFonts w:eastAsiaTheme="minorHAnsi"/>
          <w:b/>
          <w:bCs/>
          <w:lang w:eastAsia="en-US"/>
        </w:rPr>
        <w:t xml:space="preserve">zöld </w:t>
      </w:r>
      <w:r w:rsidR="00497F9C">
        <w:rPr>
          <w:rFonts w:eastAsiaTheme="minorHAnsi"/>
          <w:b/>
          <w:bCs/>
          <w:lang w:eastAsia="en-US"/>
        </w:rPr>
        <w:t>állítások</w:t>
      </w:r>
      <w:r w:rsidRPr="007863D5">
        <w:rPr>
          <w:rFonts w:eastAsiaTheme="minorHAnsi"/>
          <w:b/>
          <w:bCs/>
          <w:lang w:eastAsia="en-US"/>
        </w:rPr>
        <w:t>, a fogyasztók jelentős része pedig nincs tisztában az egyes állítások és jelölések pontos tartalmával, jelentésével.</w:t>
      </w:r>
      <w:r w:rsidR="00861DEF" w:rsidRPr="00861DEF">
        <w:rPr>
          <w:rFonts w:eastAsiaTheme="minorHAnsi"/>
          <w:lang w:eastAsia="en-US"/>
        </w:rPr>
        <w:t xml:space="preserve"> </w:t>
      </w:r>
    </w:p>
    <w:p w14:paraId="269911E1" w14:textId="7D9DF804" w:rsidR="00861DEF" w:rsidRPr="00861DEF" w:rsidRDefault="003C30B9" w:rsidP="001D561A">
      <w:pPr>
        <w:spacing w:after="80"/>
        <w:rPr>
          <w:rFonts w:eastAsiaTheme="minorHAnsi"/>
          <w:i/>
          <w:iCs/>
          <w:lang w:eastAsia="en-US"/>
        </w:rPr>
      </w:pPr>
      <w:hyperlink r:id="rId8" w:history="1">
        <w:r w:rsidR="00861DEF" w:rsidRPr="006D69E6">
          <w:rPr>
            <w:rStyle w:val="Hiperhivatkozs"/>
            <w:rFonts w:eastAsiaTheme="minorHAnsi"/>
            <w:lang w:eastAsia="en-US"/>
          </w:rPr>
          <w:t>A</w:t>
        </w:r>
        <w:r w:rsidR="006D69E6" w:rsidRPr="006D69E6">
          <w:rPr>
            <w:rStyle w:val="Hiperhivatkozs"/>
            <w:rFonts w:eastAsiaTheme="minorHAnsi"/>
            <w:lang w:eastAsia="en-US"/>
          </w:rPr>
          <w:t xml:space="preserve"> 2024. január 11-én nyilvánosságra hozott</w:t>
        </w:r>
        <w:r w:rsidR="00861DEF" w:rsidRPr="006D69E6">
          <w:rPr>
            <w:rStyle w:val="Hiperhivatkozs"/>
            <w:rFonts w:eastAsiaTheme="minorHAnsi"/>
            <w:lang w:eastAsia="en-US"/>
          </w:rPr>
          <w:t xml:space="preserve"> piac</w:t>
        </w:r>
        <w:r w:rsidR="006D69E6" w:rsidRPr="006D69E6">
          <w:rPr>
            <w:rStyle w:val="Hiperhivatkozs"/>
            <w:rFonts w:eastAsiaTheme="minorHAnsi"/>
            <w:lang w:eastAsia="en-US"/>
          </w:rPr>
          <w:t>elemzés</w:t>
        </w:r>
      </w:hyperlink>
      <w:r w:rsidR="00861DEF" w:rsidRPr="007863D5">
        <w:rPr>
          <w:rFonts w:eastAsiaTheme="minorHAnsi"/>
          <w:lang w:eastAsia="en-US"/>
        </w:rPr>
        <w:t xml:space="preserve"> minél szélesebb körű hasznosulása érdekében, továbbá a fogyasztóvédelmi jogérvényesítés zöld átállásban betöltött növekvő szerepének megvitatására 2024. január 24-én a GVH </w:t>
      </w:r>
      <w:r w:rsidR="00497F9C">
        <w:rPr>
          <w:rFonts w:eastAsiaTheme="minorHAnsi"/>
          <w:lang w:eastAsia="en-US"/>
        </w:rPr>
        <w:t>„</w:t>
      </w:r>
      <w:proofErr w:type="spellStart"/>
      <w:r w:rsidR="00861DEF" w:rsidRPr="00861DEF">
        <w:rPr>
          <w:rFonts w:eastAsiaTheme="minorHAnsi"/>
          <w:i/>
          <w:iCs/>
          <w:lang w:eastAsia="en-US"/>
        </w:rPr>
        <w:t>Green</w:t>
      </w:r>
      <w:proofErr w:type="spellEnd"/>
      <w:r w:rsidR="00861DEF" w:rsidRPr="00861DEF">
        <w:rPr>
          <w:rFonts w:eastAsiaTheme="minorHAnsi"/>
          <w:i/>
          <w:iCs/>
          <w:lang w:eastAsia="en-US"/>
        </w:rPr>
        <w:t xml:space="preserve"> </w:t>
      </w:r>
      <w:proofErr w:type="spellStart"/>
      <w:r w:rsidR="00861DEF" w:rsidRPr="00861DEF">
        <w:rPr>
          <w:rFonts w:eastAsiaTheme="minorHAnsi"/>
          <w:i/>
          <w:iCs/>
          <w:lang w:eastAsia="en-US"/>
        </w:rPr>
        <w:t>claims</w:t>
      </w:r>
      <w:proofErr w:type="spellEnd"/>
      <w:r w:rsidR="00861DEF" w:rsidRPr="00861DEF">
        <w:rPr>
          <w:rFonts w:eastAsiaTheme="minorHAnsi"/>
          <w:i/>
          <w:iCs/>
          <w:lang w:eastAsia="en-US"/>
        </w:rPr>
        <w:t xml:space="preserve">: consumer </w:t>
      </w:r>
      <w:proofErr w:type="spellStart"/>
      <w:r w:rsidR="00861DEF" w:rsidRPr="00861DEF">
        <w:rPr>
          <w:rFonts w:eastAsiaTheme="minorHAnsi"/>
          <w:i/>
          <w:iCs/>
          <w:lang w:eastAsia="en-US"/>
        </w:rPr>
        <w:t>perception</w:t>
      </w:r>
      <w:proofErr w:type="spellEnd"/>
      <w:r w:rsidR="00861DEF" w:rsidRPr="00861DEF">
        <w:rPr>
          <w:rFonts w:eastAsiaTheme="minorHAnsi"/>
          <w:i/>
          <w:iCs/>
          <w:lang w:eastAsia="en-US"/>
        </w:rPr>
        <w:t xml:space="preserve">, </w:t>
      </w:r>
      <w:proofErr w:type="spellStart"/>
      <w:r w:rsidR="00861DEF" w:rsidRPr="00861DEF">
        <w:rPr>
          <w:rFonts w:eastAsiaTheme="minorHAnsi"/>
          <w:i/>
          <w:iCs/>
          <w:lang w:eastAsia="en-US"/>
        </w:rPr>
        <w:t>developments</w:t>
      </w:r>
      <w:proofErr w:type="spellEnd"/>
      <w:r w:rsidR="00861DEF" w:rsidRPr="00861DEF">
        <w:rPr>
          <w:rFonts w:eastAsiaTheme="minorHAnsi"/>
          <w:i/>
          <w:iCs/>
          <w:lang w:eastAsia="en-US"/>
        </w:rPr>
        <w:t xml:space="preserve"> and </w:t>
      </w:r>
      <w:proofErr w:type="spellStart"/>
      <w:r w:rsidR="00861DEF" w:rsidRPr="00861DEF">
        <w:rPr>
          <w:rFonts w:eastAsiaTheme="minorHAnsi"/>
          <w:i/>
          <w:iCs/>
          <w:lang w:eastAsia="en-US"/>
        </w:rPr>
        <w:t>guidance</w:t>
      </w:r>
      <w:proofErr w:type="spellEnd"/>
      <w:r w:rsidR="00497F9C">
        <w:rPr>
          <w:rFonts w:eastAsiaTheme="minorHAnsi"/>
          <w:i/>
          <w:iCs/>
          <w:lang w:eastAsia="en-US"/>
        </w:rPr>
        <w:t>”</w:t>
      </w:r>
      <w:r w:rsidR="00861DEF" w:rsidRPr="007863D5">
        <w:rPr>
          <w:rFonts w:eastAsiaTheme="minorHAnsi"/>
          <w:i/>
          <w:iCs/>
          <w:lang w:eastAsia="en-US"/>
        </w:rPr>
        <w:t xml:space="preserve"> </w:t>
      </w:r>
      <w:r w:rsidR="00861DEF" w:rsidRPr="007863D5">
        <w:rPr>
          <w:rFonts w:eastAsiaTheme="minorHAnsi"/>
          <w:lang w:eastAsia="en-US"/>
        </w:rPr>
        <w:t xml:space="preserve">címmel online, angol nyelvű </w:t>
      </w:r>
      <w:r w:rsidR="00497F9C">
        <w:rPr>
          <w:rFonts w:eastAsiaTheme="minorHAnsi"/>
          <w:lang w:eastAsia="en-US"/>
        </w:rPr>
        <w:t>panelbeszélgetést</w:t>
      </w:r>
      <w:r w:rsidR="00497F9C" w:rsidRPr="007863D5">
        <w:rPr>
          <w:rFonts w:eastAsiaTheme="minorHAnsi"/>
          <w:lang w:eastAsia="en-US"/>
        </w:rPr>
        <w:t xml:space="preserve"> </w:t>
      </w:r>
      <w:r w:rsidR="00861DEF" w:rsidRPr="007863D5">
        <w:rPr>
          <w:rFonts w:eastAsiaTheme="minorHAnsi"/>
          <w:lang w:eastAsia="en-US"/>
        </w:rPr>
        <w:t>szervezett.</w:t>
      </w:r>
    </w:p>
    <w:p w14:paraId="70F484BE" w14:textId="5FCDFEE7" w:rsidR="007863D5" w:rsidRPr="00861DEF" w:rsidRDefault="00861DEF" w:rsidP="001D561A">
      <w:pPr>
        <w:spacing w:after="80"/>
        <w:rPr>
          <w:rFonts w:eastAsiaTheme="minorHAnsi"/>
          <w:lang w:eastAsia="en-US"/>
        </w:rPr>
      </w:pPr>
      <w:r w:rsidRPr="007863D5">
        <w:rPr>
          <w:rFonts w:eastAsiaTheme="minorHAnsi"/>
          <w:lang w:eastAsia="en-US"/>
        </w:rPr>
        <w:t xml:space="preserve">A workshopon a GVH szakemberei és az </w:t>
      </w:r>
      <w:r w:rsidR="00497F9C">
        <w:rPr>
          <w:rFonts w:eastAsiaTheme="minorHAnsi"/>
          <w:lang w:eastAsia="en-US"/>
        </w:rPr>
        <w:t>Eötvös Loránd Tudományegyetem (</w:t>
      </w:r>
      <w:r w:rsidRPr="007863D5">
        <w:rPr>
          <w:rFonts w:eastAsiaTheme="minorHAnsi"/>
          <w:lang w:eastAsia="en-US"/>
        </w:rPr>
        <w:t>ELTE</w:t>
      </w:r>
      <w:r w:rsidR="00497F9C">
        <w:rPr>
          <w:rFonts w:eastAsiaTheme="minorHAnsi"/>
          <w:lang w:eastAsia="en-US"/>
        </w:rPr>
        <w:t>)</w:t>
      </w:r>
      <w:r w:rsidRPr="007863D5">
        <w:rPr>
          <w:rFonts w:eastAsiaTheme="minorHAnsi"/>
          <w:lang w:eastAsia="en-US"/>
        </w:rPr>
        <w:t xml:space="preserve"> kutatója részletesen ismertették a januárban nyilvánosságra hozott, a környezetvédelemhez kötődő állításokat vizsgáló piacelemzés megállapításait és javaslatait. </w:t>
      </w:r>
      <w:r w:rsidR="00497F9C">
        <w:rPr>
          <w:rFonts w:eastAsiaTheme="minorHAnsi"/>
          <w:lang w:eastAsia="en-US"/>
        </w:rPr>
        <w:t xml:space="preserve">A panel nemzetközi résztvevői (a brit és a lengyel versenyhatóság egy-egy szakmai vezetője) bemutatták saját </w:t>
      </w:r>
      <w:r w:rsidR="002B5D44">
        <w:rPr>
          <w:rFonts w:eastAsiaTheme="minorHAnsi"/>
          <w:lang w:eastAsia="en-US"/>
        </w:rPr>
        <w:t xml:space="preserve">versenyhatóságuk </w:t>
      </w:r>
      <w:r w:rsidR="00497F9C">
        <w:rPr>
          <w:rFonts w:eastAsiaTheme="minorHAnsi"/>
          <w:lang w:eastAsia="en-US"/>
        </w:rPr>
        <w:t>tapasztalatait, a témában lezárt, illetve folyamatban lévő ügyeit, valamint ismertették a zöld állításokkal kapcsolatos iránymutatásai</w:t>
      </w:r>
      <w:r w:rsidR="002B5D44">
        <w:rPr>
          <w:rFonts w:eastAsiaTheme="minorHAnsi"/>
          <w:lang w:eastAsia="en-US"/>
        </w:rPr>
        <w:t>k</w:t>
      </w:r>
      <w:r w:rsidR="00497F9C">
        <w:rPr>
          <w:rFonts w:eastAsiaTheme="minorHAnsi"/>
          <w:lang w:eastAsia="en-US"/>
        </w:rPr>
        <w:t xml:space="preserve"> főbb pontjait</w:t>
      </w:r>
      <w:r>
        <w:rPr>
          <w:rFonts w:eastAsiaTheme="minorHAnsi"/>
          <w:lang w:eastAsia="en-US"/>
        </w:rPr>
        <w:t>.</w:t>
      </w:r>
    </w:p>
    <w:p w14:paraId="6F95656E" w14:textId="4E020C72" w:rsidR="007863D5" w:rsidRDefault="006D69E6" w:rsidP="001D561A">
      <w:pPr>
        <w:spacing w:after="80"/>
        <w:rPr>
          <w:rFonts w:eastAsiaTheme="minorHAnsi"/>
          <w:lang w:eastAsia="en-US"/>
        </w:rPr>
      </w:pPr>
      <w:r w:rsidRPr="006D69E6">
        <w:rPr>
          <w:rFonts w:eastAsiaTheme="minorHAnsi"/>
          <w:lang w:eastAsia="en-US"/>
        </w:rPr>
        <w:t>A nemzetközi eszmecserének is köszönhetően s</w:t>
      </w:r>
      <w:r w:rsidR="007863D5" w:rsidRPr="006D69E6">
        <w:rPr>
          <w:rFonts w:eastAsiaTheme="minorHAnsi"/>
          <w:lang w:eastAsia="en-US"/>
        </w:rPr>
        <w:t>zéles körben hasznosulhat a Gazdasági Versenyhivatal</w:t>
      </w:r>
      <w:r>
        <w:rPr>
          <w:rFonts w:eastAsiaTheme="minorHAnsi"/>
          <w:lang w:eastAsia="en-US"/>
        </w:rPr>
        <w:t xml:space="preserve"> </w:t>
      </w:r>
      <w:r w:rsidR="007863D5" w:rsidRPr="006D69E6">
        <w:rPr>
          <w:rFonts w:eastAsiaTheme="minorHAnsi"/>
          <w:lang w:eastAsia="en-US"/>
        </w:rPr>
        <w:t>piacelemzése</w:t>
      </w:r>
      <w:r w:rsidR="007863D5" w:rsidRPr="007863D5">
        <w:rPr>
          <w:rFonts w:eastAsiaTheme="minorHAnsi"/>
          <w:lang w:eastAsia="en-US"/>
        </w:rPr>
        <w:t>, amelyben a versenyhatóság szakemberei a zöld állítások elterjedtségét és a fogyasztók döntéseire gyakorolt hatásukat vizsgálták.</w:t>
      </w:r>
    </w:p>
    <w:p w14:paraId="1265B304" w14:textId="4B4E93C2" w:rsidR="001D561A" w:rsidRPr="001D561A" w:rsidRDefault="001D561A" w:rsidP="001D561A">
      <w:pPr>
        <w:spacing w:after="80"/>
        <w:rPr>
          <w:rFonts w:eastAsiaTheme="minorHAnsi"/>
          <w:i/>
          <w:iCs/>
          <w:lang w:eastAsia="en-US"/>
        </w:rPr>
      </w:pPr>
      <w:r w:rsidRPr="001D561A">
        <w:rPr>
          <w:rFonts w:eastAsiaTheme="minorHAnsi"/>
          <w:lang w:eastAsia="en-US"/>
        </w:rPr>
        <w:t xml:space="preserve">Bak László, az GVH elnökhelyettese kiemelte: </w:t>
      </w:r>
      <w:r w:rsidRPr="001D561A">
        <w:rPr>
          <w:rFonts w:eastAsiaTheme="minorHAnsi"/>
          <w:i/>
          <w:iCs/>
          <w:lang w:eastAsia="en-US"/>
        </w:rPr>
        <w:t>„Európa-szerte vizsgálják a környezetre vonatkozó állítások fogyasztókra gyakorolt hatását. A GVH is aktívan tájékozódik e téren és vizsgálataival, útmutatásaival, piacelemzésével hozza kíván járulni a jogszerű kereskedelmi kommunikációkhoz.”</w:t>
      </w:r>
    </w:p>
    <w:p w14:paraId="51612944" w14:textId="317ABA5B" w:rsidR="007863D5" w:rsidRPr="007863D5" w:rsidRDefault="00293E97" w:rsidP="001D561A">
      <w:pPr>
        <w:spacing w:after="8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="007863D5" w:rsidRPr="007863D5">
        <w:rPr>
          <w:rFonts w:eastAsiaTheme="minorHAnsi"/>
          <w:lang w:eastAsia="en-US"/>
        </w:rPr>
        <w:t xml:space="preserve"> GVH</w:t>
      </w:r>
      <w:r w:rsidR="001D561A">
        <w:rPr>
          <w:rFonts w:eastAsiaTheme="minorHAnsi"/>
          <w:lang w:eastAsia="en-US"/>
        </w:rPr>
        <w:t xml:space="preserve"> vizsgálói</w:t>
      </w:r>
      <w:r w:rsidR="007863D5" w:rsidRPr="007863D5">
        <w:rPr>
          <w:rFonts w:eastAsiaTheme="minorHAnsi"/>
          <w:lang w:eastAsia="en-US"/>
        </w:rPr>
        <w:t xml:space="preserve"> feltárták, hogy </w:t>
      </w:r>
      <w:r w:rsidR="007863D5" w:rsidRPr="007863D5">
        <w:rPr>
          <w:rFonts w:eastAsiaTheme="minorHAnsi"/>
          <w:b/>
          <w:bCs/>
          <w:lang w:eastAsia="en-US"/>
        </w:rPr>
        <w:t>a hazai vállalkozások nagyon széles értelmezésekkel és nem rendszerezett módon kommunikálnak a fenntarthatósággal kapcsolatban</w:t>
      </w:r>
      <w:r w:rsidR="007863D5" w:rsidRPr="007863D5">
        <w:rPr>
          <w:rFonts w:eastAsiaTheme="minorHAnsi"/>
          <w:lang w:eastAsia="en-US"/>
        </w:rPr>
        <w:t>. Számos vállalkozás ún. bizalmi jegyekkel, logókkal támasztja alá a „zöld” működését, ugyanakkor nem mindig azonosítható (vagy magyarul nem elérhető) a fogyasztók számára a mögöttük álló tanúsító szervezet vagy szempontrendszer.</w:t>
      </w:r>
    </w:p>
    <w:p w14:paraId="1778FCBB" w14:textId="0A8B8D92" w:rsidR="007863D5" w:rsidRDefault="007863D5" w:rsidP="001D561A">
      <w:pPr>
        <w:spacing w:after="80"/>
        <w:rPr>
          <w:rFonts w:eastAsiaTheme="minorHAnsi"/>
          <w:lang w:eastAsia="en-US"/>
        </w:rPr>
      </w:pPr>
      <w:r w:rsidRPr="007863D5">
        <w:rPr>
          <w:rFonts w:eastAsiaTheme="minorHAnsi"/>
          <w:lang w:eastAsia="en-US"/>
        </w:rPr>
        <w:t>A piacelemzés részeként az ELTE</w:t>
      </w:r>
      <w:r w:rsidR="00497F9C">
        <w:rPr>
          <w:rFonts w:eastAsiaTheme="minorHAnsi"/>
          <w:lang w:eastAsia="en-US"/>
        </w:rPr>
        <w:t>-vel</w:t>
      </w:r>
      <w:r w:rsidRPr="007863D5">
        <w:rPr>
          <w:rFonts w:eastAsiaTheme="minorHAnsi"/>
          <w:lang w:eastAsia="en-US"/>
        </w:rPr>
        <w:t xml:space="preserve"> közösen végzett kontrollált, </w:t>
      </w:r>
      <w:proofErr w:type="spellStart"/>
      <w:r w:rsidRPr="007863D5">
        <w:rPr>
          <w:rFonts w:eastAsiaTheme="minorHAnsi"/>
          <w:lang w:eastAsia="en-US"/>
        </w:rPr>
        <w:t>véletlenített</w:t>
      </w:r>
      <w:proofErr w:type="spellEnd"/>
      <w:r w:rsidRPr="007863D5">
        <w:rPr>
          <w:rFonts w:eastAsiaTheme="minorHAnsi"/>
          <w:lang w:eastAsia="en-US"/>
        </w:rPr>
        <w:t xml:space="preserve"> kísérlet megmutatta, hogy a zöld állítások termékcsomagoláson való megjelenítése hatással van a fogyasztók adott termékről kialakított képére, illetve vásárlási szándékára. Ugyanakkor </w:t>
      </w:r>
      <w:r w:rsidRPr="007863D5">
        <w:rPr>
          <w:rFonts w:eastAsiaTheme="minorHAnsi"/>
          <w:b/>
          <w:bCs/>
          <w:lang w:eastAsia="en-US"/>
        </w:rPr>
        <w:t>a fogyasztók jelentős része nincs tisztában a látott állítások pontos tartalmával</w:t>
      </w:r>
      <w:r w:rsidR="00497F9C">
        <w:rPr>
          <w:rFonts w:eastAsiaTheme="minorHAnsi"/>
          <w:b/>
          <w:bCs/>
          <w:lang w:eastAsia="en-US"/>
        </w:rPr>
        <w:t>,</w:t>
      </w:r>
      <w:r w:rsidRPr="007863D5">
        <w:rPr>
          <w:rFonts w:eastAsiaTheme="minorHAnsi"/>
          <w:b/>
          <w:bCs/>
          <w:lang w:eastAsia="en-US"/>
        </w:rPr>
        <w:t xml:space="preserve"> és sok esetben félreérti azokat</w:t>
      </w:r>
      <w:r w:rsidRPr="007863D5">
        <w:rPr>
          <w:rFonts w:eastAsiaTheme="minorHAnsi"/>
          <w:lang w:eastAsia="en-US"/>
        </w:rPr>
        <w:t>.</w:t>
      </w:r>
    </w:p>
    <w:p w14:paraId="4563AA70" w14:textId="4C4BF3D9" w:rsidR="00293E97" w:rsidRPr="001D561A" w:rsidRDefault="00293E97" w:rsidP="001D561A">
      <w:pPr>
        <w:spacing w:after="80"/>
        <w:rPr>
          <w:rFonts w:eastAsiaTheme="minorHAnsi"/>
          <w:i/>
          <w:iCs/>
          <w:lang w:eastAsia="en-US"/>
        </w:rPr>
      </w:pPr>
      <w:r>
        <w:rPr>
          <w:rFonts w:eastAsiaTheme="minorHAnsi"/>
          <w:lang w:eastAsia="en-US"/>
        </w:rPr>
        <w:t>B</w:t>
      </w:r>
      <w:r w:rsidR="00092905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vár Ágnes, az ELTE kutatója arra világított rá, hogy: </w:t>
      </w:r>
      <w:r w:rsidRPr="00293E97">
        <w:rPr>
          <w:rFonts w:eastAsiaTheme="minorHAnsi"/>
          <w:i/>
          <w:iCs/>
          <w:lang w:eastAsia="en-US"/>
        </w:rPr>
        <w:t xml:space="preserve">„Eredményeink </w:t>
      </w:r>
      <w:r w:rsidR="00497F9C">
        <w:rPr>
          <w:rFonts w:eastAsiaTheme="minorHAnsi"/>
          <w:i/>
          <w:iCs/>
          <w:lang w:eastAsia="en-US"/>
        </w:rPr>
        <w:t>alapján azonos termékek esetén</w:t>
      </w:r>
      <w:r w:rsidRPr="00293E97">
        <w:rPr>
          <w:rFonts w:eastAsiaTheme="minorHAnsi"/>
          <w:i/>
          <w:iCs/>
          <w:lang w:eastAsia="en-US"/>
        </w:rPr>
        <w:t xml:space="preserve"> a zöld állítások csomagoláson való megjelenése a termék pozitívabb értékeléséhez vezet. A hatás mértéke </w:t>
      </w:r>
      <w:r w:rsidR="002B5D44">
        <w:rPr>
          <w:rFonts w:eastAsiaTheme="minorHAnsi"/>
          <w:i/>
          <w:iCs/>
          <w:lang w:eastAsia="en-US"/>
        </w:rPr>
        <w:t xml:space="preserve">azonban </w:t>
      </w:r>
      <w:r w:rsidRPr="00293E97">
        <w:rPr>
          <w:rFonts w:eastAsiaTheme="minorHAnsi"/>
          <w:i/>
          <w:iCs/>
          <w:lang w:eastAsia="en-US"/>
        </w:rPr>
        <w:t>függ a termékkategóriától, a zöld állítás tartalmától és megjelenési formájától, illetve a fogyasztók zöld elkötelezettségétől is.”</w:t>
      </w:r>
    </w:p>
    <w:p w14:paraId="65C639C1" w14:textId="1C745767" w:rsidR="0006093C" w:rsidRPr="00293E97" w:rsidRDefault="007863D5" w:rsidP="001D561A">
      <w:pPr>
        <w:spacing w:after="80"/>
        <w:rPr>
          <w:rFonts w:eastAsiaTheme="minorHAnsi"/>
          <w:b/>
          <w:bCs/>
          <w:lang w:eastAsia="en-US"/>
        </w:rPr>
      </w:pPr>
      <w:r w:rsidRPr="007863D5">
        <w:rPr>
          <w:rFonts w:eastAsiaTheme="minorHAnsi"/>
          <w:lang w:eastAsia="en-US"/>
        </w:rPr>
        <w:t xml:space="preserve">A piacelemzés megállapításai alapján a GVH számos javaslattal élt a jogalkotó és a piaci szereplők irányába, többek között </w:t>
      </w:r>
      <w:r w:rsidRPr="007863D5">
        <w:rPr>
          <w:rFonts w:eastAsiaTheme="minorHAnsi"/>
          <w:b/>
          <w:bCs/>
          <w:lang w:eastAsia="en-US"/>
        </w:rPr>
        <w:t>többszintes, államilag szabályozott fenntarthatósági jelölőrendszer kialakítását javasolja a jogalkotónak.</w:t>
      </w:r>
      <w:bookmarkEnd w:id="0"/>
      <w:r w:rsidR="00293E97">
        <w:rPr>
          <w:rFonts w:eastAsiaTheme="minorHAnsi"/>
          <w:b/>
          <w:bCs/>
          <w:lang w:eastAsia="en-US"/>
        </w:rPr>
        <w:t xml:space="preserve"> </w:t>
      </w:r>
      <w:r w:rsidR="00A610DF">
        <w:t xml:space="preserve">A piacelemzés </w:t>
      </w:r>
      <w:r w:rsidR="00EA7FA0">
        <w:t>eredménye</w:t>
      </w:r>
      <w:r w:rsidR="00FF563A">
        <w:t>it összefoglaló</w:t>
      </w:r>
      <w:r w:rsidR="00EA7FA0">
        <w:t xml:space="preserve"> tanulmány</w:t>
      </w:r>
      <w:r w:rsidR="002B5D44">
        <w:t xml:space="preserve"> és mellékletei</w:t>
      </w:r>
      <w:r w:rsidR="00FF0DCC">
        <w:t>, benne a GVH szakértői által megfogalmazott részelet</w:t>
      </w:r>
      <w:r w:rsidR="00A14019">
        <w:t>es</w:t>
      </w:r>
      <w:r w:rsidR="00FF0DCC">
        <w:t xml:space="preserve"> javaslatokkal és azok indokolásával</w:t>
      </w:r>
      <w:r w:rsidR="00EA7FA0">
        <w:t xml:space="preserve"> elérhető </w:t>
      </w:r>
      <w:hyperlink r:id="rId9" w:history="1">
        <w:r w:rsidR="00FF563A" w:rsidRPr="00A14019">
          <w:rPr>
            <w:rStyle w:val="Hiperhivatkozs"/>
          </w:rPr>
          <w:t xml:space="preserve">a </w:t>
        </w:r>
        <w:r w:rsidR="00A610DF" w:rsidRPr="00A14019">
          <w:rPr>
            <w:rStyle w:val="Hiperhivatkozs"/>
          </w:rPr>
          <w:t>Gazdasági Versenyhivatal honlapján</w:t>
        </w:r>
        <w:r w:rsidR="00A14019">
          <w:rPr>
            <w:rStyle w:val="Hiperhivatkozs"/>
          </w:rPr>
          <w:t xml:space="preserve"> ide</w:t>
        </w:r>
        <w:r w:rsidR="00A14019" w:rsidRPr="00A14019">
          <w:rPr>
            <w:rStyle w:val="Hiperhivatkozs"/>
          </w:rPr>
          <w:t xml:space="preserve"> kattintva</w:t>
        </w:r>
      </w:hyperlink>
      <w:r w:rsidR="00A14019">
        <w:t>.</w:t>
      </w:r>
      <w:bookmarkEnd w:id="1"/>
    </w:p>
    <w:p w14:paraId="46B5F357" w14:textId="5356CC38" w:rsidR="00361831" w:rsidRPr="006256C4" w:rsidRDefault="00361831" w:rsidP="006256C4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4128BFE7" w:rsidR="002A426E" w:rsidRDefault="00361831" w:rsidP="006256C4">
      <w:pPr>
        <w:spacing w:after="0"/>
      </w:pPr>
      <w:r>
        <w:t>Gondolovics Katalin, sajtószóvivő +36 30 603 1170</w:t>
      </w:r>
    </w:p>
    <w:sectPr w:rsidR="002A426E" w:rsidSect="007863D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2FDA" w14:textId="77777777" w:rsidR="008857DA" w:rsidRDefault="008857DA">
      <w:pPr>
        <w:spacing w:after="0" w:line="240" w:lineRule="auto"/>
      </w:pPr>
      <w:r>
        <w:separator/>
      </w:r>
    </w:p>
  </w:endnote>
  <w:endnote w:type="continuationSeparator" w:id="0">
    <w:p w14:paraId="4772E690" w14:textId="77777777" w:rsidR="008857DA" w:rsidRDefault="0088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F3DD" w14:textId="77777777" w:rsidR="008857DA" w:rsidRDefault="008857DA">
      <w:pPr>
        <w:spacing w:after="0" w:line="240" w:lineRule="auto"/>
      </w:pPr>
      <w:r>
        <w:separator/>
      </w:r>
    </w:p>
  </w:footnote>
  <w:footnote w:type="continuationSeparator" w:id="0">
    <w:p w14:paraId="5F5BADD1" w14:textId="77777777" w:rsidR="008857DA" w:rsidRDefault="0088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502B4"/>
    <w:rsid w:val="00055453"/>
    <w:rsid w:val="00057D8B"/>
    <w:rsid w:val="00060528"/>
    <w:rsid w:val="0006093C"/>
    <w:rsid w:val="0007220F"/>
    <w:rsid w:val="00092905"/>
    <w:rsid w:val="000C7EC0"/>
    <w:rsid w:val="000D0161"/>
    <w:rsid w:val="000E7621"/>
    <w:rsid w:val="001C6F96"/>
    <w:rsid w:val="001D2926"/>
    <w:rsid w:val="001D561A"/>
    <w:rsid w:val="001E227E"/>
    <w:rsid w:val="00202D48"/>
    <w:rsid w:val="00206DF4"/>
    <w:rsid w:val="002300B2"/>
    <w:rsid w:val="00230286"/>
    <w:rsid w:val="002574F3"/>
    <w:rsid w:val="002734A3"/>
    <w:rsid w:val="00293E97"/>
    <w:rsid w:val="002A0E05"/>
    <w:rsid w:val="002A426E"/>
    <w:rsid w:val="002B5D44"/>
    <w:rsid w:val="00361831"/>
    <w:rsid w:val="00382160"/>
    <w:rsid w:val="003C30B9"/>
    <w:rsid w:val="003C51E4"/>
    <w:rsid w:val="003E675C"/>
    <w:rsid w:val="00401C7C"/>
    <w:rsid w:val="00424B8A"/>
    <w:rsid w:val="00430D05"/>
    <w:rsid w:val="00454D0A"/>
    <w:rsid w:val="00485F3F"/>
    <w:rsid w:val="00491BFC"/>
    <w:rsid w:val="0049629F"/>
    <w:rsid w:val="00497F9C"/>
    <w:rsid w:val="004B1EC2"/>
    <w:rsid w:val="004C2DF9"/>
    <w:rsid w:val="00545903"/>
    <w:rsid w:val="005566B7"/>
    <w:rsid w:val="005A068C"/>
    <w:rsid w:val="005A20C2"/>
    <w:rsid w:val="005A384B"/>
    <w:rsid w:val="005A4856"/>
    <w:rsid w:val="005B31C0"/>
    <w:rsid w:val="005E13E7"/>
    <w:rsid w:val="005E7373"/>
    <w:rsid w:val="006256C4"/>
    <w:rsid w:val="00626E97"/>
    <w:rsid w:val="0063452B"/>
    <w:rsid w:val="00694570"/>
    <w:rsid w:val="006D0F58"/>
    <w:rsid w:val="006D69E6"/>
    <w:rsid w:val="00736F52"/>
    <w:rsid w:val="00781D29"/>
    <w:rsid w:val="007863D5"/>
    <w:rsid w:val="007C3D7E"/>
    <w:rsid w:val="007C7270"/>
    <w:rsid w:val="007E33B9"/>
    <w:rsid w:val="00821F1C"/>
    <w:rsid w:val="008302EE"/>
    <w:rsid w:val="00835934"/>
    <w:rsid w:val="00861DEF"/>
    <w:rsid w:val="00874C88"/>
    <w:rsid w:val="008857DA"/>
    <w:rsid w:val="00886B5A"/>
    <w:rsid w:val="00890898"/>
    <w:rsid w:val="008927DB"/>
    <w:rsid w:val="008A4731"/>
    <w:rsid w:val="008B3221"/>
    <w:rsid w:val="008C44CC"/>
    <w:rsid w:val="008E272C"/>
    <w:rsid w:val="00904062"/>
    <w:rsid w:val="00905BBD"/>
    <w:rsid w:val="00916F81"/>
    <w:rsid w:val="00927A0A"/>
    <w:rsid w:val="00933AD1"/>
    <w:rsid w:val="00972CA9"/>
    <w:rsid w:val="009D3093"/>
    <w:rsid w:val="00A14019"/>
    <w:rsid w:val="00A610DF"/>
    <w:rsid w:val="00A715B2"/>
    <w:rsid w:val="00A814BE"/>
    <w:rsid w:val="00A96E66"/>
    <w:rsid w:val="00AF45D3"/>
    <w:rsid w:val="00B02F46"/>
    <w:rsid w:val="00B056E2"/>
    <w:rsid w:val="00B0747E"/>
    <w:rsid w:val="00B3311F"/>
    <w:rsid w:val="00B6413F"/>
    <w:rsid w:val="00B70E7E"/>
    <w:rsid w:val="00BB087E"/>
    <w:rsid w:val="00C64636"/>
    <w:rsid w:val="00C87708"/>
    <w:rsid w:val="00CA2EBA"/>
    <w:rsid w:val="00CD63D8"/>
    <w:rsid w:val="00D31443"/>
    <w:rsid w:val="00DC6E83"/>
    <w:rsid w:val="00DC752D"/>
    <w:rsid w:val="00E044AF"/>
    <w:rsid w:val="00E45607"/>
    <w:rsid w:val="00E665BD"/>
    <w:rsid w:val="00E87D38"/>
    <w:rsid w:val="00EA233F"/>
    <w:rsid w:val="00EA31B0"/>
    <w:rsid w:val="00EA7FA0"/>
    <w:rsid w:val="00EC4637"/>
    <w:rsid w:val="00F0164C"/>
    <w:rsid w:val="00F13997"/>
    <w:rsid w:val="00F155F8"/>
    <w:rsid w:val="00F22CD6"/>
    <w:rsid w:val="00F8356C"/>
    <w:rsid w:val="00FC5159"/>
    <w:rsid w:val="00FD1928"/>
    <w:rsid w:val="00FD31ED"/>
    <w:rsid w:val="00FE5D23"/>
    <w:rsid w:val="00FF0DC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nem-minden-zold-amirol-azt-allitja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dontesek/agazati_vizsgalatok_piacelemzesek/piacelemzesek/piacelemzes-a-kornyezetvedelemhez-kotodo-allitasok-piaci-szereplok-altali-kialakitasarol-es-alkalmazasaro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2024-01-24T21:02:00Z</dcterms:created>
  <dcterms:modified xsi:type="dcterms:W3CDTF">2024-01-24T21:02:00Z</dcterms:modified>
</cp:coreProperties>
</file>