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72D59" w14:textId="2EF4D49E" w:rsidR="002A01B5" w:rsidRPr="002A01B5" w:rsidRDefault="002A01B5" w:rsidP="002A01B5">
      <w:pPr>
        <w:rPr>
          <w:b/>
          <w:bCs/>
          <w:sz w:val="28"/>
          <w:szCs w:val="28"/>
        </w:rPr>
      </w:pPr>
      <w:bookmarkStart w:id="0" w:name="_Hlk147755103"/>
      <w:bookmarkStart w:id="1" w:name="_Hlk150499558"/>
      <w:r>
        <w:rPr>
          <w:b/>
          <w:bCs/>
          <w:sz w:val="28"/>
          <w:szCs w:val="28"/>
        </w:rPr>
        <w:t>Megalakult a türk államok versenytanácsa Isztambulban</w:t>
      </w:r>
    </w:p>
    <w:p w14:paraId="36C3A3FF" w14:textId="77777777" w:rsidR="002A01B5" w:rsidRPr="002A01B5" w:rsidRDefault="002A01B5" w:rsidP="002A01B5">
      <w:pPr>
        <w:rPr>
          <w:b/>
          <w:bCs/>
          <w:i/>
          <w:iCs/>
          <w:sz w:val="22"/>
          <w:szCs w:val="22"/>
        </w:rPr>
      </w:pPr>
      <w:r w:rsidRPr="002A01B5">
        <w:rPr>
          <w:b/>
          <w:bCs/>
          <w:i/>
          <w:iCs/>
        </w:rPr>
        <w:t>A Gazdasági Versenyhivatal megfigyelőként csatlakozott a versenyjogi együttműködéshez</w:t>
      </w:r>
    </w:p>
    <w:p w14:paraId="60DE97AF" w14:textId="095DA739" w:rsidR="00293221" w:rsidRDefault="00361831" w:rsidP="00293221">
      <w:pPr>
        <w:tabs>
          <w:tab w:val="left" w:pos="567"/>
        </w:tabs>
        <w:rPr>
          <w:b/>
        </w:rPr>
      </w:pPr>
      <w:r w:rsidRPr="00257907">
        <w:rPr>
          <w:b/>
        </w:rPr>
        <w:t>Budapest, 202</w:t>
      </w:r>
      <w:r w:rsidR="00A610DF">
        <w:rPr>
          <w:b/>
        </w:rPr>
        <w:t>4</w:t>
      </w:r>
      <w:r w:rsidRPr="00257907">
        <w:rPr>
          <w:b/>
        </w:rPr>
        <w:t>.</w:t>
      </w:r>
      <w:r>
        <w:rPr>
          <w:b/>
        </w:rPr>
        <w:t xml:space="preserve"> </w:t>
      </w:r>
      <w:r w:rsidR="00A610DF">
        <w:rPr>
          <w:b/>
        </w:rPr>
        <w:t>január</w:t>
      </w:r>
      <w:r w:rsidR="00D31443">
        <w:rPr>
          <w:b/>
        </w:rPr>
        <w:t xml:space="preserve"> </w:t>
      </w:r>
      <w:r w:rsidR="002A01B5">
        <w:rPr>
          <w:b/>
        </w:rPr>
        <w:t>23</w:t>
      </w:r>
      <w:r>
        <w:rPr>
          <w:b/>
        </w:rPr>
        <w:t>.</w:t>
      </w:r>
      <w:r w:rsidRPr="00257907">
        <w:rPr>
          <w:b/>
        </w:rPr>
        <w:t xml:space="preserve"> –</w:t>
      </w:r>
      <w:r>
        <w:rPr>
          <w:b/>
        </w:rPr>
        <w:t xml:space="preserve"> </w:t>
      </w:r>
      <w:bookmarkEnd w:id="0"/>
      <w:r w:rsidR="00215B31">
        <w:rPr>
          <w:b/>
        </w:rPr>
        <w:t>Létrejött a türk államok versenytanácsa, amelyhez a Gazda</w:t>
      </w:r>
      <w:r w:rsidR="00293221">
        <w:rPr>
          <w:b/>
        </w:rPr>
        <w:t>s</w:t>
      </w:r>
      <w:r w:rsidR="00215B31">
        <w:rPr>
          <w:b/>
        </w:rPr>
        <w:t xml:space="preserve">ági Versenyhivatal (GVH) – hasonlóan Magyarország státuszához a Türk Államok Szervezetében – megfigyelőként csatlakozott. Az egyes országok nemzeti versenyhatóságait tömörítő új szervezet </w:t>
      </w:r>
      <w:r w:rsidR="00293221">
        <w:rPr>
          <w:b/>
        </w:rPr>
        <w:t xml:space="preserve">elsődleges </w:t>
      </w:r>
      <w:r w:rsidR="00215B31">
        <w:rPr>
          <w:b/>
        </w:rPr>
        <w:t>célja a tudásmegosztás és a</w:t>
      </w:r>
      <w:r w:rsidR="00293221">
        <w:rPr>
          <w:b/>
        </w:rPr>
        <w:t xml:space="preserve"> kölcsönös</w:t>
      </w:r>
      <w:r w:rsidR="00215B31">
        <w:rPr>
          <w:b/>
        </w:rPr>
        <w:t xml:space="preserve"> tapasztalatcsere. </w:t>
      </w:r>
      <w:bookmarkEnd w:id="1"/>
    </w:p>
    <w:p w14:paraId="52AAE6D1" w14:textId="78232C27" w:rsidR="00293221" w:rsidRDefault="00926AF6" w:rsidP="00293221">
      <w:pPr>
        <w:tabs>
          <w:tab w:val="left" w:pos="567"/>
        </w:tabs>
        <w:rPr>
          <w:rFonts w:eastAsiaTheme="majorEastAsia"/>
        </w:rPr>
      </w:pPr>
      <w:r>
        <w:t>A Türk Államok Szervezete egyes töröknyelvű országokat tömörítő nemzetközi szervezet</w:t>
      </w:r>
      <w:r w:rsidR="00215B31">
        <w:t>, amelyet</w:t>
      </w:r>
      <w:r>
        <w:t xml:space="preserve"> 2009</w:t>
      </w:r>
      <w:r w:rsidR="00215B31">
        <w:t>.</w:t>
      </w:r>
      <w:r>
        <w:t xml:space="preserve"> október 3-án alapított</w:t>
      </w:r>
      <w:r w:rsidR="00215B31">
        <w:t xml:space="preserve">ak. </w:t>
      </w:r>
      <w:r w:rsidR="00DB3D50">
        <w:t>Jelenlegi</w:t>
      </w:r>
      <w:r>
        <w:t xml:space="preserve"> tagjai</w:t>
      </w:r>
      <w:r w:rsidR="00215B31">
        <w:t>:</w:t>
      </w:r>
      <w:r>
        <w:t xml:space="preserve"> </w:t>
      </w:r>
      <w:r w:rsidRPr="00926AF6">
        <w:rPr>
          <w:rFonts w:eastAsiaTheme="majorEastAsia"/>
        </w:rPr>
        <w:t>Azerbajdzsán</w:t>
      </w:r>
      <w:r>
        <w:t xml:space="preserve">, </w:t>
      </w:r>
      <w:r w:rsidRPr="00926AF6">
        <w:rPr>
          <w:rFonts w:eastAsiaTheme="majorEastAsia"/>
        </w:rPr>
        <w:t>Kazahsztán</w:t>
      </w:r>
      <w:r>
        <w:t xml:space="preserve">, </w:t>
      </w:r>
      <w:r w:rsidRPr="00926AF6">
        <w:rPr>
          <w:rFonts w:eastAsiaTheme="majorEastAsia"/>
        </w:rPr>
        <w:t>Kirgizisztán</w:t>
      </w:r>
      <w:r>
        <w:t xml:space="preserve">, </w:t>
      </w:r>
      <w:r w:rsidRPr="00926AF6">
        <w:rPr>
          <w:rFonts w:eastAsiaTheme="majorEastAsia"/>
        </w:rPr>
        <w:t>Törökország</w:t>
      </w:r>
      <w:r w:rsidR="00293221">
        <w:rPr>
          <w:rFonts w:eastAsiaTheme="majorEastAsia"/>
        </w:rPr>
        <w:t xml:space="preserve"> </w:t>
      </w:r>
      <w:r>
        <w:t xml:space="preserve">és </w:t>
      </w:r>
      <w:r w:rsidRPr="00926AF6">
        <w:rPr>
          <w:rFonts w:eastAsiaTheme="majorEastAsia"/>
        </w:rPr>
        <w:t>Üzbegisztán</w:t>
      </w:r>
      <w:r>
        <w:rPr>
          <w:rFonts w:eastAsiaTheme="majorEastAsia"/>
        </w:rPr>
        <w:t>.</w:t>
      </w:r>
      <w:r w:rsidR="00215B31">
        <w:rPr>
          <w:rFonts w:eastAsiaTheme="majorEastAsia"/>
        </w:rPr>
        <w:t xml:space="preserve"> </w:t>
      </w:r>
      <w:r w:rsidR="00215B31" w:rsidRPr="00215B31">
        <w:rPr>
          <w:rFonts w:eastAsiaTheme="majorEastAsia"/>
        </w:rPr>
        <w:t>Magyarország</w:t>
      </w:r>
      <w:r w:rsidR="00215B31">
        <w:rPr>
          <w:rFonts w:eastAsiaTheme="majorEastAsia"/>
        </w:rPr>
        <w:t xml:space="preserve"> 2018. szeptember 3-a óta</w:t>
      </w:r>
      <w:r w:rsidR="00215B31" w:rsidRPr="00215B31">
        <w:rPr>
          <w:rFonts w:eastAsiaTheme="majorEastAsia"/>
        </w:rPr>
        <w:t xml:space="preserve"> megfigyelői státusszal rendelkezik a tanácsban</w:t>
      </w:r>
      <w:r w:rsidR="00215B31">
        <w:rPr>
          <w:rFonts w:eastAsiaTheme="majorEastAsia"/>
        </w:rPr>
        <w:t>.</w:t>
      </w:r>
    </w:p>
    <w:p w14:paraId="3D04634F" w14:textId="14A44568" w:rsidR="00DB3D50" w:rsidRDefault="00293221" w:rsidP="00DB3D50">
      <w:pPr>
        <w:tabs>
          <w:tab w:val="left" w:pos="567"/>
        </w:tabs>
        <w:rPr>
          <w:rFonts w:eastAsiaTheme="majorEastAsia"/>
        </w:rPr>
      </w:pPr>
      <w:r>
        <w:t>A török versenyhatóság kezdeményezése alapján 2024.</w:t>
      </w:r>
      <w:r>
        <w:rPr>
          <w:rFonts w:eastAsiaTheme="majorEastAsia"/>
        </w:rPr>
        <w:t xml:space="preserve"> január 23-án Isztambulban</w:t>
      </w:r>
      <w:r w:rsidR="009A498E">
        <w:rPr>
          <w:rFonts w:eastAsiaTheme="majorEastAsia"/>
        </w:rPr>
        <w:t xml:space="preserve"> létrejött</w:t>
      </w:r>
      <w:r>
        <w:rPr>
          <w:rFonts w:eastAsiaTheme="majorEastAsia"/>
        </w:rPr>
        <w:t xml:space="preserve"> türk államok versenytanács</w:t>
      </w:r>
      <w:r w:rsidR="009A498E">
        <w:rPr>
          <w:rFonts w:eastAsiaTheme="majorEastAsia"/>
        </w:rPr>
        <w:t xml:space="preserve">a </w:t>
      </w:r>
      <w:r>
        <w:rPr>
          <w:rFonts w:eastAsiaTheme="majorEastAsia"/>
        </w:rPr>
        <w:t>az egyes országok nemzeti versenyhatóságait tömörítő szervezet.</w:t>
      </w:r>
      <w:r w:rsidR="00DB3D50">
        <w:rPr>
          <w:rFonts w:eastAsiaTheme="majorEastAsia"/>
        </w:rPr>
        <w:t xml:space="preserve"> A céljai között</w:t>
      </w:r>
      <w:r w:rsidR="009A498E">
        <w:rPr>
          <w:rFonts w:eastAsiaTheme="majorEastAsia"/>
        </w:rPr>
        <w:t xml:space="preserve"> szerepel:</w:t>
      </w:r>
    </w:p>
    <w:p w14:paraId="5DA91127" w14:textId="41662217" w:rsidR="00DB3D50" w:rsidRDefault="00DB3D50" w:rsidP="00DB3D50">
      <w:pPr>
        <w:pStyle w:val="Listaszerbekezds"/>
        <w:numPr>
          <w:ilvl w:val="0"/>
          <w:numId w:val="3"/>
        </w:numPr>
        <w:tabs>
          <w:tab w:val="left" w:pos="567"/>
        </w:tabs>
        <w:rPr>
          <w:rFonts w:eastAsiaTheme="majorEastAsia"/>
        </w:rPr>
      </w:pPr>
      <w:r>
        <w:rPr>
          <w:rFonts w:eastAsiaTheme="majorEastAsia"/>
        </w:rPr>
        <w:t>az együttműködés előmozdítása a versenypolitikai jogérvényesítés területén,</w:t>
      </w:r>
    </w:p>
    <w:p w14:paraId="0636AFCA" w14:textId="0B8A2461" w:rsidR="00DB3D50" w:rsidRDefault="00C01B2D" w:rsidP="00DB3D50">
      <w:pPr>
        <w:pStyle w:val="Listaszerbekezds"/>
        <w:numPr>
          <w:ilvl w:val="0"/>
          <w:numId w:val="3"/>
        </w:numPr>
        <w:tabs>
          <w:tab w:val="left" w:pos="567"/>
        </w:tabs>
        <w:rPr>
          <w:rFonts w:eastAsiaTheme="majorEastAsia"/>
        </w:rPr>
      </w:pPr>
      <w:r>
        <w:rPr>
          <w:rFonts w:eastAsiaTheme="majorEastAsia"/>
        </w:rPr>
        <w:t>kedvező feltételek megteremtése a regionális együttműködés fejlődéséhez,</w:t>
      </w:r>
    </w:p>
    <w:p w14:paraId="4DA247B9" w14:textId="39CD16DC" w:rsidR="00C01B2D" w:rsidRDefault="00C01B2D" w:rsidP="00DB3D50">
      <w:pPr>
        <w:pStyle w:val="Listaszerbekezds"/>
        <w:numPr>
          <w:ilvl w:val="0"/>
          <w:numId w:val="3"/>
        </w:numPr>
        <w:tabs>
          <w:tab w:val="left" w:pos="567"/>
        </w:tabs>
        <w:rPr>
          <w:rFonts w:eastAsiaTheme="majorEastAsia"/>
        </w:rPr>
      </w:pPr>
      <w:r>
        <w:rPr>
          <w:rFonts w:eastAsiaTheme="majorEastAsia"/>
        </w:rPr>
        <w:t>a versenykultúra fejlesztése a tag- és megfigyelő országokban,</w:t>
      </w:r>
    </w:p>
    <w:p w14:paraId="0BF2CF04" w14:textId="10967DA6" w:rsidR="00C01B2D" w:rsidRDefault="00C01B2D" w:rsidP="00DB3D50">
      <w:pPr>
        <w:pStyle w:val="Listaszerbekezds"/>
        <w:numPr>
          <w:ilvl w:val="0"/>
          <w:numId w:val="3"/>
        </w:numPr>
        <w:tabs>
          <w:tab w:val="left" w:pos="567"/>
        </w:tabs>
        <w:rPr>
          <w:rFonts w:eastAsiaTheme="majorEastAsia"/>
        </w:rPr>
      </w:pPr>
      <w:r>
        <w:rPr>
          <w:rFonts w:eastAsiaTheme="majorEastAsia"/>
        </w:rPr>
        <w:t>tudásmegosztás előmozdítása elsősorban a vizsgálati, szabályozási, jogérvényesítési és módszertani tapasztalatok területén</w:t>
      </w:r>
      <w:r w:rsidR="005E233D">
        <w:rPr>
          <w:rFonts w:eastAsiaTheme="majorEastAsia"/>
        </w:rPr>
        <w:t>.</w:t>
      </w:r>
    </w:p>
    <w:p w14:paraId="0B379805" w14:textId="79EF7B71" w:rsidR="0084703D" w:rsidRDefault="000E5666" w:rsidP="00592C93">
      <w:pPr>
        <w:tabs>
          <w:tab w:val="left" w:pos="567"/>
        </w:tabs>
      </w:pPr>
      <w:r>
        <w:rPr>
          <w:rFonts w:eastAsiaTheme="majorEastAsia"/>
        </w:rPr>
        <w:t>A türk államok versenytanácsához – hasonlóan Magyarország státuszához a Türk Államok Szervezetében – a Gazdasági Versenyhivatal is csatlakozott, megfigyelő státuszban. A</w:t>
      </w:r>
      <w:r w:rsidR="000D6B42">
        <w:rPr>
          <w:rFonts w:eastAsiaTheme="majorEastAsia"/>
        </w:rPr>
        <w:t xml:space="preserve"> magyar</w:t>
      </w:r>
      <w:r>
        <w:rPr>
          <w:rFonts w:eastAsiaTheme="majorEastAsia"/>
        </w:rPr>
        <w:t xml:space="preserve"> nemzeti versenyhatóságnak már korábban is</w:t>
      </w:r>
      <w:r w:rsidR="0084703D">
        <w:rPr>
          <w:rFonts w:eastAsiaTheme="majorEastAsia"/>
        </w:rPr>
        <w:t xml:space="preserve"> voltak szakmai</w:t>
      </w:r>
      <w:r>
        <w:rPr>
          <w:rFonts w:eastAsiaTheme="majorEastAsia"/>
        </w:rPr>
        <w:t xml:space="preserve"> kapcsolatai a szervezet több versenyhatóságával is. Az </w:t>
      </w:r>
      <w:r w:rsidR="009A498E">
        <w:rPr>
          <w:rFonts w:eastAsiaTheme="majorEastAsia"/>
        </w:rPr>
        <w:t>a</w:t>
      </w:r>
      <w:r w:rsidR="00592C93">
        <w:rPr>
          <w:rFonts w:eastAsiaTheme="majorEastAsia"/>
        </w:rPr>
        <w:t xml:space="preserve">zeri, </w:t>
      </w:r>
      <w:r w:rsidR="009A498E">
        <w:rPr>
          <w:rFonts w:eastAsiaTheme="majorEastAsia"/>
        </w:rPr>
        <w:t>k</w:t>
      </w:r>
      <w:r w:rsidR="00592C93">
        <w:rPr>
          <w:rFonts w:eastAsiaTheme="majorEastAsia"/>
        </w:rPr>
        <w:t>azah</w:t>
      </w:r>
      <w:r w:rsidR="00F24F4F">
        <w:rPr>
          <w:rFonts w:eastAsiaTheme="majorEastAsia"/>
        </w:rPr>
        <w:t xml:space="preserve"> és a</w:t>
      </w:r>
      <w:r w:rsidR="00592C93">
        <w:rPr>
          <w:rFonts w:eastAsiaTheme="majorEastAsia"/>
        </w:rPr>
        <w:t xml:space="preserve"> </w:t>
      </w:r>
      <w:r w:rsidR="009A498E">
        <w:rPr>
          <w:rFonts w:eastAsiaTheme="majorEastAsia"/>
        </w:rPr>
        <w:t>k</w:t>
      </w:r>
      <w:r w:rsidR="00592C93">
        <w:rPr>
          <w:rFonts w:eastAsiaTheme="majorEastAsia"/>
        </w:rPr>
        <w:t>irg</w:t>
      </w:r>
      <w:r w:rsidR="00F24F4F">
        <w:rPr>
          <w:rFonts w:eastAsiaTheme="majorEastAsia"/>
        </w:rPr>
        <w:t>i</w:t>
      </w:r>
      <w:r w:rsidR="00592C93">
        <w:rPr>
          <w:rFonts w:eastAsiaTheme="majorEastAsia"/>
        </w:rPr>
        <w:t>z</w:t>
      </w:r>
      <w:r w:rsidR="00F24F4F">
        <w:rPr>
          <w:rFonts w:eastAsiaTheme="majorEastAsia"/>
        </w:rPr>
        <w:t xml:space="preserve"> </w:t>
      </w:r>
      <w:r w:rsidR="009A498E">
        <w:rPr>
          <w:rFonts w:eastAsiaTheme="majorEastAsia"/>
        </w:rPr>
        <w:t>v</w:t>
      </w:r>
      <w:r w:rsidR="00592C93">
        <w:rPr>
          <w:rFonts w:eastAsiaTheme="majorEastAsia"/>
        </w:rPr>
        <w:t>ersenyhatóságok mind kedvezményezettjei a</w:t>
      </w:r>
      <w:r>
        <w:rPr>
          <w:rFonts w:eastAsiaTheme="majorEastAsia"/>
        </w:rPr>
        <w:t xml:space="preserve"> GVH</w:t>
      </w:r>
      <w:r>
        <w:t xml:space="preserve"> és a Gazdasági Együttműködési és Fejlesztési Szervezet (OECD) közösen</w:t>
      </w:r>
      <w:r w:rsidR="009A498E">
        <w:t>, Budapesten</w:t>
      </w:r>
      <w:r>
        <w:t xml:space="preserve"> működtetett Versenyügyi Regionális Oktatási Központján</w:t>
      </w:r>
      <w:r w:rsidR="00592C93">
        <w:t>ak (ROK).</w:t>
      </w:r>
    </w:p>
    <w:p w14:paraId="6930D8E7" w14:textId="6A465A11" w:rsidR="00592C93" w:rsidRDefault="00592C93" w:rsidP="00592C93">
      <w:pPr>
        <w:tabs>
          <w:tab w:val="left" w:pos="567"/>
        </w:tabs>
      </w:pPr>
      <w:r>
        <w:t xml:space="preserve">A 2005-ben alakított </w:t>
      </w:r>
      <w:r w:rsidR="00F24F4F">
        <w:t>ROK</w:t>
      </w:r>
      <w:r>
        <w:t xml:space="preserve"> az OECD és a GVH szakmai hátterére építve, oktatási és szakmai programok szervezésén keresztül nyújt</w:t>
      </w:r>
      <w:r w:rsidR="00FE397C">
        <w:t xml:space="preserve"> </w:t>
      </w:r>
      <w:r>
        <w:t>segítséget elsősorban a közép-, kelet- és délkelet-európai országok számára a versenypolitika, versenyjog és a versenykultúra fejlesztése, valamint a versenyhatóságok munkájának elősegítése érdekében, hozzájárulva a kedvezményezett országokban a verseny javításához és ezzel a gazdasági növekedéshez.</w:t>
      </w:r>
    </w:p>
    <w:p w14:paraId="4EAE06EA" w14:textId="753FE4B1" w:rsidR="0084703D" w:rsidRDefault="00592C93" w:rsidP="0084703D">
      <w:pPr>
        <w:tabs>
          <w:tab w:val="left" w:pos="567"/>
        </w:tabs>
      </w:pPr>
      <w:r>
        <w:t xml:space="preserve">A ROK révén Magyarország és a GVH vezető szerepet </w:t>
      </w:r>
      <w:r w:rsidR="009A498E">
        <w:t>tölt be</w:t>
      </w:r>
      <w:r>
        <w:t xml:space="preserve"> a régión belül az átmeneti gazdaságok fejlesztésében való részvétel és technikai segítségnyújtás terén. E szerepét erősíti </w:t>
      </w:r>
      <w:r w:rsidR="009A498E">
        <w:t>tovább</w:t>
      </w:r>
      <w:r>
        <w:t xml:space="preserve"> a</w:t>
      </w:r>
      <w:r w:rsidR="009A498E">
        <w:t xml:space="preserve"> magyar</w:t>
      </w:r>
      <w:r>
        <w:t xml:space="preserve"> nemzeti versenyhatóság azzal, hogy megfigyelőként csatlakoz</w:t>
      </w:r>
      <w:r w:rsidR="009A498E">
        <w:t>ott</w:t>
      </w:r>
      <w:r>
        <w:t xml:space="preserve"> a türk álla</w:t>
      </w:r>
      <w:r w:rsidR="009A498E">
        <w:t>m</w:t>
      </w:r>
      <w:r>
        <w:t>ok versenytanácsához</w:t>
      </w:r>
      <w:r w:rsidR="00547605">
        <w:t>,</w:t>
      </w:r>
      <w:r w:rsidR="0031572D">
        <w:t xml:space="preserve"> tovább segítve a versenyjog és a versenypolitika fejlődését a tagországokban.</w:t>
      </w:r>
    </w:p>
    <w:p w14:paraId="46B5F357" w14:textId="2F354F7D" w:rsidR="00361831" w:rsidRPr="009A498E" w:rsidRDefault="00361831" w:rsidP="009A498E">
      <w:pPr>
        <w:tabs>
          <w:tab w:val="left" w:pos="567"/>
        </w:tabs>
        <w:rPr>
          <w:b/>
          <w:bCs/>
        </w:rPr>
      </w:pPr>
      <w:r>
        <w:rPr>
          <w:b/>
          <w:bCs/>
        </w:rPr>
        <w:t xml:space="preserve">GVH </w:t>
      </w:r>
      <w:r w:rsidRPr="006A045E">
        <w:rPr>
          <w:b/>
          <w:bCs/>
        </w:rPr>
        <w:t xml:space="preserve">Közszolgálati </w:t>
      </w:r>
      <w:r>
        <w:rPr>
          <w:b/>
          <w:bCs/>
        </w:rPr>
        <w:t>kommunikációs</w:t>
      </w:r>
      <w:r w:rsidRPr="006A045E">
        <w:rPr>
          <w:b/>
          <w:bCs/>
        </w:rPr>
        <w:t xml:space="preserve"> Iroda</w:t>
      </w:r>
    </w:p>
    <w:p w14:paraId="4D4523B3" w14:textId="77777777" w:rsidR="00361831" w:rsidRDefault="00361831" w:rsidP="00361831">
      <w:pPr>
        <w:spacing w:after="0"/>
      </w:pPr>
      <w:r>
        <w:t>További információ:</w:t>
      </w:r>
    </w:p>
    <w:p w14:paraId="707774B9" w14:textId="77777777" w:rsidR="00361831" w:rsidRDefault="00361831" w:rsidP="00361831">
      <w:pPr>
        <w:spacing w:after="0"/>
      </w:pPr>
      <w:r>
        <w:t>Horváth Bálint, kommunikációs vezető +36 20 238 6939</w:t>
      </w:r>
    </w:p>
    <w:p w14:paraId="4198A9CE" w14:textId="2B374B8C" w:rsidR="002A426E" w:rsidRDefault="00361831" w:rsidP="009A498E">
      <w:pPr>
        <w:spacing w:after="0"/>
      </w:pPr>
      <w:r>
        <w:t>Gondolovics Katalin, sajtószóvivő +36 30 603 1170</w:t>
      </w:r>
    </w:p>
    <w:sectPr w:rsidR="002A426E" w:rsidSect="0082542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84" w:right="851" w:bottom="567" w:left="851" w:header="567" w:footer="55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57C22" w14:textId="77777777" w:rsidR="00C21161" w:rsidRDefault="00C21161">
      <w:pPr>
        <w:spacing w:after="0" w:line="240" w:lineRule="auto"/>
      </w:pPr>
      <w:r>
        <w:separator/>
      </w:r>
    </w:p>
  </w:endnote>
  <w:endnote w:type="continuationSeparator" w:id="0">
    <w:p w14:paraId="6FCD07BB" w14:textId="77777777" w:rsidR="00C21161" w:rsidRDefault="00C21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1EDA8" w14:textId="77777777" w:rsidR="00B3311F" w:rsidRDefault="00736F52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6C2FF" w14:textId="77777777" w:rsidR="00B3311F" w:rsidRDefault="00736F52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450BB" w14:textId="77777777" w:rsidR="00C21161" w:rsidRDefault="00C21161">
      <w:pPr>
        <w:spacing w:after="0" w:line="240" w:lineRule="auto"/>
      </w:pPr>
      <w:r>
        <w:separator/>
      </w:r>
    </w:p>
  </w:footnote>
  <w:footnote w:type="continuationSeparator" w:id="0">
    <w:p w14:paraId="0FD334E0" w14:textId="77777777" w:rsidR="00C21161" w:rsidRDefault="00C21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92602" w14:textId="0EA55935" w:rsidR="00874C88" w:rsidRDefault="00874C88" w:rsidP="00874C88">
    <w:pPr>
      <w:pStyle w:val="lfej"/>
      <w:ind w:left="0"/>
    </w:pPr>
  </w:p>
  <w:p w14:paraId="785BF5D5" w14:textId="77777777" w:rsidR="00874C88" w:rsidRDefault="00874C8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EDCDA" w14:textId="77777777" w:rsidR="00B3311F" w:rsidRDefault="00736F52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55DF55CD" wp14:editId="73EB7389">
          <wp:extent cx="1691640" cy="586740"/>
          <wp:effectExtent l="0" t="0" r="0" b="0"/>
          <wp:docPr id="14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61C56"/>
    <w:multiLevelType w:val="hybridMultilevel"/>
    <w:tmpl w:val="9FF4D166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" w15:restartNumberingAfterBreak="0">
    <w:nsid w:val="78053C3A"/>
    <w:multiLevelType w:val="hybridMultilevel"/>
    <w:tmpl w:val="97E6DC36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" w15:restartNumberingAfterBreak="0">
    <w:nsid w:val="7D9A6252"/>
    <w:multiLevelType w:val="hybridMultilevel"/>
    <w:tmpl w:val="4D9E1A06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num w:numId="1" w16cid:durableId="75516672">
    <w:abstractNumId w:val="1"/>
  </w:num>
  <w:num w:numId="2" w16cid:durableId="1174959768">
    <w:abstractNumId w:val="2"/>
  </w:num>
  <w:num w:numId="3" w16cid:durableId="1307319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3F"/>
    <w:rsid w:val="00011AF6"/>
    <w:rsid w:val="00055453"/>
    <w:rsid w:val="00057D8B"/>
    <w:rsid w:val="00060528"/>
    <w:rsid w:val="000C7EC0"/>
    <w:rsid w:val="000D0161"/>
    <w:rsid w:val="000D6B42"/>
    <w:rsid w:val="000E5666"/>
    <w:rsid w:val="000E7621"/>
    <w:rsid w:val="00202D48"/>
    <w:rsid w:val="00206DF4"/>
    <w:rsid w:val="00215B31"/>
    <w:rsid w:val="002574F3"/>
    <w:rsid w:val="00293221"/>
    <w:rsid w:val="002A01B5"/>
    <w:rsid w:val="002A0E05"/>
    <w:rsid w:val="002A426E"/>
    <w:rsid w:val="0031572D"/>
    <w:rsid w:val="00361831"/>
    <w:rsid w:val="00382160"/>
    <w:rsid w:val="003C51E4"/>
    <w:rsid w:val="003E675C"/>
    <w:rsid w:val="00401C7C"/>
    <w:rsid w:val="00424B8A"/>
    <w:rsid w:val="00430D05"/>
    <w:rsid w:val="00491BFC"/>
    <w:rsid w:val="004B1EC2"/>
    <w:rsid w:val="00545903"/>
    <w:rsid w:val="00547605"/>
    <w:rsid w:val="005566B7"/>
    <w:rsid w:val="00592C93"/>
    <w:rsid w:val="005A20C2"/>
    <w:rsid w:val="005A384B"/>
    <w:rsid w:val="005A4856"/>
    <w:rsid w:val="005B31C0"/>
    <w:rsid w:val="005E13E7"/>
    <w:rsid w:val="005E233D"/>
    <w:rsid w:val="005E7373"/>
    <w:rsid w:val="00626E97"/>
    <w:rsid w:val="00736F52"/>
    <w:rsid w:val="007C3D7E"/>
    <w:rsid w:val="008302EE"/>
    <w:rsid w:val="00835934"/>
    <w:rsid w:val="0084703D"/>
    <w:rsid w:val="00874C88"/>
    <w:rsid w:val="00890898"/>
    <w:rsid w:val="008927DB"/>
    <w:rsid w:val="008C44CC"/>
    <w:rsid w:val="00904062"/>
    <w:rsid w:val="00905BBD"/>
    <w:rsid w:val="00916F81"/>
    <w:rsid w:val="00926AF6"/>
    <w:rsid w:val="00933AD1"/>
    <w:rsid w:val="009516FB"/>
    <w:rsid w:val="00972CA9"/>
    <w:rsid w:val="009A498E"/>
    <w:rsid w:val="00A610DF"/>
    <w:rsid w:val="00A715B2"/>
    <w:rsid w:val="00A96E66"/>
    <w:rsid w:val="00AF45D3"/>
    <w:rsid w:val="00B02F46"/>
    <w:rsid w:val="00B0747E"/>
    <w:rsid w:val="00B145A5"/>
    <w:rsid w:val="00B3311F"/>
    <w:rsid w:val="00B6413F"/>
    <w:rsid w:val="00BB087E"/>
    <w:rsid w:val="00C01B2D"/>
    <w:rsid w:val="00C21161"/>
    <w:rsid w:val="00C64636"/>
    <w:rsid w:val="00C87708"/>
    <w:rsid w:val="00CA2EBA"/>
    <w:rsid w:val="00CD63D8"/>
    <w:rsid w:val="00D31443"/>
    <w:rsid w:val="00DB3D50"/>
    <w:rsid w:val="00DC6E83"/>
    <w:rsid w:val="00DC752D"/>
    <w:rsid w:val="00E45607"/>
    <w:rsid w:val="00E665BD"/>
    <w:rsid w:val="00EA31B0"/>
    <w:rsid w:val="00EC4637"/>
    <w:rsid w:val="00F0164C"/>
    <w:rsid w:val="00F13997"/>
    <w:rsid w:val="00F22CD6"/>
    <w:rsid w:val="00F24F4F"/>
    <w:rsid w:val="00F8356C"/>
    <w:rsid w:val="00FB2FCC"/>
    <w:rsid w:val="00FD1928"/>
    <w:rsid w:val="00FD31ED"/>
    <w:rsid w:val="00FE397C"/>
    <w:rsid w:val="00FE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EFAA"/>
  <w15:chartTrackingRefBased/>
  <w15:docId w15:val="{F1BE087E-BDD1-400E-9BC2-C0740CA1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1831"/>
    <w:pPr>
      <w:spacing w:after="200" w:line="276" w:lineRule="auto"/>
      <w:ind w:left="90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31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61831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31C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5B31C0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5A384B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626E9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26E9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26E9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26E9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26E9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626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4B1EC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87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74C8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7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74C88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GVH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 Csongor dr.</dc:creator>
  <cp:keywords/>
  <dc:description/>
  <cp:lastModifiedBy>Horváth Bálint dr.</cp:lastModifiedBy>
  <cp:revision>3</cp:revision>
  <dcterms:created xsi:type="dcterms:W3CDTF">2024-01-19T09:56:00Z</dcterms:created>
  <dcterms:modified xsi:type="dcterms:W3CDTF">2024-01-19T09:56:00Z</dcterms:modified>
</cp:coreProperties>
</file>