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709687" w14:textId="77777777" w:rsidR="00D65133" w:rsidRPr="00A02686" w:rsidRDefault="00D65133" w:rsidP="00A02686">
      <w:pPr>
        <w:jc w:val="center"/>
        <w:rPr>
          <w:b/>
          <w:sz w:val="28"/>
          <w:szCs w:val="28"/>
        </w:rPr>
      </w:pPr>
      <w:r w:rsidRPr="00A02686">
        <w:rPr>
          <w:b/>
          <w:sz w:val="28"/>
          <w:szCs w:val="28"/>
        </w:rPr>
        <w:t>Súlyos importkitettség és átláthatatlan árazás az építési fa piacán</w:t>
      </w:r>
    </w:p>
    <w:p w14:paraId="2F4B8E3D" w14:textId="35EC797B" w:rsidR="00D65133" w:rsidRPr="00A02686" w:rsidRDefault="00A02686" w:rsidP="00A02686">
      <w:pPr>
        <w:tabs>
          <w:tab w:val="left" w:pos="567"/>
        </w:tabs>
        <w:spacing w:after="120"/>
        <w:ind w:left="851"/>
        <w:rPr>
          <w:b/>
        </w:rPr>
      </w:pPr>
      <w:r>
        <w:rPr>
          <w:b/>
        </w:rPr>
        <w:tab/>
      </w:r>
      <w:r w:rsidR="00D65133" w:rsidRPr="00A02686">
        <w:rPr>
          <w:b/>
        </w:rPr>
        <w:t>Budapest, 2021. december 2</w:t>
      </w:r>
      <w:r w:rsidR="00D728BE">
        <w:rPr>
          <w:b/>
        </w:rPr>
        <w:t>2</w:t>
      </w:r>
      <w:r w:rsidR="00D65133" w:rsidRPr="00A02686">
        <w:rPr>
          <w:b/>
        </w:rPr>
        <w:t xml:space="preserve">. </w:t>
      </w:r>
      <w:r w:rsidR="00D65133" w:rsidRPr="00A02686">
        <w:rPr>
          <w:b/>
        </w:rPr>
        <w:softHyphen/>
        <w:t>– A Gazdasági Versenyhivatal (GVH) október 19-én indított gyorsított ágazati vizsgálatot a fa építőanyagok hazai piaci folyamatainak feltárása érdekében. A vizsgálat eredményeinek fényében a versenyhatóság négy javaslatot fogalmazott meg a jogalkotó és a kormány felé. A vizsgálat eredményeit összefoglaló jelentéstervezet elérhető a GVH honlapján, az ágazati szereplőknek nyolc napjuk van a tervezet véleményezésére.</w:t>
      </w:r>
    </w:p>
    <w:p w14:paraId="009C81CC" w14:textId="77777777" w:rsidR="00D65133" w:rsidRDefault="00D65133" w:rsidP="002253F7">
      <w:pPr>
        <w:spacing w:after="120"/>
        <w:ind w:firstLine="509"/>
      </w:pPr>
      <w:r>
        <w:t xml:space="preserve">A nemzeti versenyhatóság második gyorsított ágazati vizsgálata a fa építőanyagok értékláncának minden szintjére kiterjedt. A GVH egyaránt vizsgálta az erdőgazdaságok, a fafeldolgozók, az építőanyagok piacán jelentős szerepet betöltő beszerzési tárulások, az építőanyag-kiskereskedők és a kivitelezők piaci magatartását. A versenyhatóság az eljárás során meghallgatta a különböző szereplők véleményét a piaci folyamatokról, illetve ütköztette az eltérő szakmai álláspontokat. A GVH emellett – a NÉBIH-hel együttműködve – összehangolt </w:t>
      </w:r>
      <w:r>
        <w:rPr>
          <w:color w:val="000000" w:themeColor="text1"/>
        </w:rPr>
        <w:t>helyszíni kutatásokat folytatott országszerte</w:t>
      </w:r>
      <w:r>
        <w:t>, számos vállalkozást pedig adatkéréssel keresett meg. A vizsgálat egyelőre nem tárt fel olyan piaci magatartást, amely versenyfelügyeleti eljárás megindítását tenné szükségessé, ugyanakkor több olyan piaci probléma is akad, amely a versenyre hátrányosan hathat. Ezek megoldására a GVH jelentéstervezetében négy javaslatot fogalmazott meg.</w:t>
      </w:r>
    </w:p>
    <w:p w14:paraId="0F2C151A" w14:textId="1707FEEB" w:rsidR="00D65133" w:rsidRPr="00A02686" w:rsidRDefault="00A02686" w:rsidP="002253F7">
      <w:pPr>
        <w:spacing w:after="120"/>
        <w:ind w:firstLine="509"/>
      </w:pPr>
      <w:r>
        <w:t xml:space="preserve">1.: </w:t>
      </w:r>
      <w:r w:rsidR="00D65133">
        <w:t xml:space="preserve">A vizsgálat egyik megállapítása, hogy a fogyasztók kiszolgáltatottak - sok esetben nem tudják </w:t>
      </w:r>
      <w:r w:rsidR="00D65133" w:rsidRPr="00A02686">
        <w:t>összehasonlítani az egyes kereskedők árait -, mert a fa építőanyagok vonatkozásában az árak nem átláthatók és nehezen megismerhetők. Az ártranszparencia hiányát igazolja, hogy az egyes kiskereskedők árai jelentős szórást mutatnak, tehát ugyanaz a termék jelentősen eltérő árakon kapható különböző építőanyag</w:t>
      </w:r>
      <w:r w:rsidR="00AE0669">
        <w:t>-</w:t>
      </w:r>
      <w:r w:rsidR="00D65133" w:rsidRPr="00A02686">
        <w:t>kereskedéseknél. A GVH ezért szabályozást kezdeményez arra vonatkozóan, hogy a fa építőanyagok kiskereskedelmével foglalkozó vállalkozások számára kötelező legyen aktuális áraikat mind a honlapjukon, mind a fizikai értékesítési pontjaikon közzétenni.</w:t>
      </w:r>
    </w:p>
    <w:p w14:paraId="29323D72" w14:textId="4359F515" w:rsidR="00D65133" w:rsidRPr="00A02686" w:rsidRDefault="00A02686" w:rsidP="002253F7">
      <w:pPr>
        <w:spacing w:after="120"/>
        <w:ind w:firstLine="509"/>
      </w:pPr>
      <w:r>
        <w:t xml:space="preserve">2.: </w:t>
      </w:r>
      <w:r w:rsidR="00D65133">
        <w:t xml:space="preserve">Enyhíthet hazánk importfüggőségén, ha a fa építőanyagok egyes típusait helyettesíteni képes termékekre és technológiai megoldásokra – így például a lágy lombos fafajtákból előállított építőelemekre – vonatkozó </w:t>
      </w:r>
      <w:r w:rsidR="00D65133" w:rsidRPr="00A02686">
        <w:t>innovatív hazai kutatások sikerre vezetnek</w:t>
      </w:r>
      <w:r w:rsidR="00D65133">
        <w:t xml:space="preserve">, </w:t>
      </w:r>
      <w:r w:rsidR="00D65133" w:rsidRPr="00A02686">
        <w:t>az azok során fejlesztett termékek forgalomba kerülhetnek, és így az import egy részét a magyarországi kitermelésű fafajtákból készített termékekkel lehetne kiváltani</w:t>
      </w:r>
      <w:r w:rsidR="00D65133">
        <w:t xml:space="preserve">. A GVH javasolja ezért a fenyőt helyettesítő fatermékekre vonatkozó – jelenleg is folyó – </w:t>
      </w:r>
      <w:r w:rsidR="00D65133" w:rsidRPr="00A02686">
        <w:t>kutatások és innováció további állami ösztönzését.</w:t>
      </w:r>
    </w:p>
    <w:p w14:paraId="076C09D5" w14:textId="47807764" w:rsidR="00D65133" w:rsidRPr="00A02686" w:rsidRDefault="00A02686" w:rsidP="002253F7">
      <w:pPr>
        <w:spacing w:after="120"/>
        <w:ind w:firstLine="509"/>
      </w:pPr>
      <w:r w:rsidRPr="00A02686">
        <w:t xml:space="preserve">3.: </w:t>
      </w:r>
      <w:r w:rsidR="00D65133" w:rsidRPr="00A02686">
        <w:t xml:space="preserve">A gyorsított ágazati vizsgálat során feltártak alapján a GVH javasolja a </w:t>
      </w:r>
      <w:r w:rsidR="00CF390B">
        <w:br/>
      </w:r>
      <w:r w:rsidR="002253F7">
        <w:t>K</w:t>
      </w:r>
      <w:r w:rsidR="00D65133" w:rsidRPr="00A02686">
        <w:t xml:space="preserve">ormánynak, hogy a fatermékek országhatárokon átívelő mozgásának teljesebb nyomon követhetősége érdekében alakítson ki szorosabb (elsősorban elektronikus adatszolgáltatáson alapuló) együttműködést azon államokkal, amelyek hazánkba jelentős mennyiségű faipari terméket exportálnak. </w:t>
      </w:r>
    </w:p>
    <w:p w14:paraId="56C1F02E" w14:textId="476468C4" w:rsidR="00D65133" w:rsidRDefault="00A02686" w:rsidP="002253F7">
      <w:pPr>
        <w:spacing w:after="120"/>
        <w:ind w:firstLine="509"/>
      </w:pPr>
      <w:r>
        <w:t xml:space="preserve">4.: </w:t>
      </w:r>
      <w:r w:rsidR="00D65133">
        <w:t xml:space="preserve">A GVH szembesült azzal, hogy egyes fa építőanyag-forgalmazók elavult, nem digitalizált készletnyilvántartási és ügyviteli rendszerekkel dolgoznak. A </w:t>
      </w:r>
      <w:r>
        <w:t>versenyhatóság</w:t>
      </w:r>
      <w:r w:rsidR="00D65133">
        <w:t xml:space="preserve"> </w:t>
      </w:r>
      <w:r w:rsidR="00D65133" w:rsidRPr="00A02686">
        <w:lastRenderedPageBreak/>
        <w:t xml:space="preserve">javasolja a jogalkotónak, hogy írja elő ezen termékeket forgalmazó vállalkozások számára az elektronikus ügyviteli rendszer használatának kötelezettségét. </w:t>
      </w:r>
      <w:r w:rsidR="00D65133">
        <w:t>Az elvárt elektronikus ügyviteli rendszerek kiépítéséhez, fejlesztéséhez, illetve beszerzéséhez állami céltámogatási rendszer is felajánlható.</w:t>
      </w:r>
    </w:p>
    <w:p w14:paraId="3CED2DE0" w14:textId="77777777" w:rsidR="00D65133" w:rsidRDefault="00D65133" w:rsidP="002253F7">
      <w:pPr>
        <w:spacing w:after="120"/>
        <w:ind w:firstLine="426"/>
      </w:pPr>
      <w:r>
        <w:t>A fa építőanyagok piacán jelentkező áremelkedés a lakosság és a vállalkozások széles körét érinti, ráadásul kedvezőtlenül hat az inflációra. Ezért a javasolt pontok megvalósítása enyhíthet az építési fa piacon uralkodó helyzeten.</w:t>
      </w:r>
    </w:p>
    <w:p w14:paraId="7205C02A" w14:textId="77777777" w:rsidR="00D65133" w:rsidRDefault="00D65133" w:rsidP="002253F7">
      <w:pPr>
        <w:spacing w:after="120"/>
        <w:ind w:firstLine="426"/>
      </w:pPr>
      <w:r>
        <w:t>A Gazdasági Versenyhivatal jelentéstervezetéről külön tájékoztatta az építésgazdasági intézkedések összehangolásáért felelős kormánybiztost.</w:t>
      </w:r>
    </w:p>
    <w:p w14:paraId="5366E0F6" w14:textId="272514B9" w:rsidR="00D65133" w:rsidRDefault="00D65133" w:rsidP="002253F7">
      <w:pPr>
        <w:spacing w:after="120"/>
        <w:ind w:firstLine="426"/>
      </w:pPr>
      <w:r w:rsidRPr="002253F7">
        <w:t>Az ágazati vizsgálat jelentéstervezete itt érhető el:</w:t>
      </w:r>
    </w:p>
    <w:p w14:paraId="5498BFE4" w14:textId="10FF0066" w:rsidR="002253F7" w:rsidRDefault="00D728BE" w:rsidP="00D65133">
      <w:pPr>
        <w:spacing w:after="0"/>
        <w:ind w:firstLine="426"/>
      </w:pPr>
      <w:hyperlink r:id="rId7" w:history="1">
        <w:r w:rsidR="002253F7" w:rsidRPr="001A416E">
          <w:rPr>
            <w:rStyle w:val="Hiperhivatkozs"/>
          </w:rPr>
          <w:t>https://www.gvh.hu/dontesek/agazati_vizsgalatok_piacelemzesek/agazati_vizsgalatok/jelentes-tervezet-a-fa-epitoanyagok-magyarorszagi-piacan-lefolytatott-gyorsitott-agazati-vizsgalatrol</w:t>
        </w:r>
      </w:hyperlink>
      <w:r w:rsidR="002253F7">
        <w:t xml:space="preserve"> </w:t>
      </w:r>
    </w:p>
    <w:p w14:paraId="21BF00A7" w14:textId="77777777" w:rsidR="002253F7" w:rsidRDefault="002253F7" w:rsidP="00D65133">
      <w:pPr>
        <w:spacing w:after="0"/>
        <w:ind w:firstLine="426"/>
      </w:pPr>
    </w:p>
    <w:p w14:paraId="00DC41DA" w14:textId="77777777" w:rsidR="003567BD" w:rsidRPr="00257907" w:rsidRDefault="007932FB" w:rsidP="00086051">
      <w:pPr>
        <w:spacing w:after="120"/>
      </w:pPr>
      <w:r w:rsidRPr="00257907">
        <w:t>GVH Sajtóiroda</w:t>
      </w:r>
    </w:p>
    <w:sectPr w:rsidR="003567BD" w:rsidRPr="00257907" w:rsidSect="009321A3">
      <w:footerReference w:type="default" r:id="rId8"/>
      <w:headerReference w:type="first" r:id="rId9"/>
      <w:footerReference w:type="first" r:id="rId10"/>
      <w:pgSz w:w="11906" w:h="16838"/>
      <w:pgMar w:top="1276" w:right="1418" w:bottom="1418" w:left="1134" w:header="568" w:footer="5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249A" w14:textId="77777777" w:rsidR="00A205FD" w:rsidRDefault="00A205FD">
      <w:pPr>
        <w:spacing w:after="0" w:line="240" w:lineRule="auto"/>
      </w:pPr>
      <w:r>
        <w:separator/>
      </w:r>
    </w:p>
  </w:endnote>
  <w:endnote w:type="continuationSeparator" w:id="0">
    <w:p w14:paraId="2C931098" w14:textId="77777777" w:rsidR="00A205FD" w:rsidRDefault="00A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725FA5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6A84" w14:textId="77777777" w:rsidR="003567BD" w:rsidRDefault="007932FB">
    <w:pPr>
      <w:tabs>
        <w:tab w:val="left" w:pos="3226"/>
      </w:tabs>
    </w:pPr>
    <w:r>
      <w:rPr>
        <w:rFonts w:ascii="Arial" w:eastAsia="Arial" w:hAnsi="Arial" w:cs="Arial"/>
        <w:sz w:val="18"/>
        <w:szCs w:val="18"/>
      </w:rPr>
      <w:t xml:space="preserve">1054 Budapest, Alkotmány u. 5.    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B03B" w14:textId="77777777" w:rsidR="00A205FD" w:rsidRDefault="00A205FD">
      <w:pPr>
        <w:spacing w:after="0" w:line="240" w:lineRule="auto"/>
      </w:pPr>
      <w:r>
        <w:separator/>
      </w:r>
    </w:p>
  </w:footnote>
  <w:footnote w:type="continuationSeparator" w:id="0">
    <w:p w14:paraId="5C3A2A6B" w14:textId="77777777" w:rsidR="00A205FD" w:rsidRDefault="00A2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26AB" w14:textId="7EE26064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1C3"/>
    <w:multiLevelType w:val="hybridMultilevel"/>
    <w:tmpl w:val="18D2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CDF"/>
    <w:multiLevelType w:val="hybridMultilevel"/>
    <w:tmpl w:val="F0E406A2"/>
    <w:lvl w:ilvl="0" w:tplc="1B841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42B"/>
    <w:multiLevelType w:val="hybridMultilevel"/>
    <w:tmpl w:val="1302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1849"/>
    <w:multiLevelType w:val="hybridMultilevel"/>
    <w:tmpl w:val="6152E7B0"/>
    <w:lvl w:ilvl="0" w:tplc="BF78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BD"/>
    <w:rsid w:val="00002369"/>
    <w:rsid w:val="000031CB"/>
    <w:rsid w:val="000110C0"/>
    <w:rsid w:val="0001137F"/>
    <w:rsid w:val="00022354"/>
    <w:rsid w:val="00027B65"/>
    <w:rsid w:val="00030E1F"/>
    <w:rsid w:val="00045B05"/>
    <w:rsid w:val="00054DF2"/>
    <w:rsid w:val="00070A32"/>
    <w:rsid w:val="00077BFB"/>
    <w:rsid w:val="00086051"/>
    <w:rsid w:val="00087F49"/>
    <w:rsid w:val="000A79CA"/>
    <w:rsid w:val="000B1433"/>
    <w:rsid w:val="000B1D31"/>
    <w:rsid w:val="000B2938"/>
    <w:rsid w:val="000B30A6"/>
    <w:rsid w:val="000B752A"/>
    <w:rsid w:val="000D3454"/>
    <w:rsid w:val="000D6316"/>
    <w:rsid w:val="000E670C"/>
    <w:rsid w:val="000E6CEA"/>
    <w:rsid w:val="000F3E7E"/>
    <w:rsid w:val="00103FEF"/>
    <w:rsid w:val="00111878"/>
    <w:rsid w:val="00115142"/>
    <w:rsid w:val="00115CAD"/>
    <w:rsid w:val="00120B66"/>
    <w:rsid w:val="00132EAE"/>
    <w:rsid w:val="00141841"/>
    <w:rsid w:val="00142C1F"/>
    <w:rsid w:val="00144184"/>
    <w:rsid w:val="00145FDD"/>
    <w:rsid w:val="00151A27"/>
    <w:rsid w:val="00152E30"/>
    <w:rsid w:val="00190044"/>
    <w:rsid w:val="0019010B"/>
    <w:rsid w:val="00193134"/>
    <w:rsid w:val="00197D3B"/>
    <w:rsid w:val="001A14C3"/>
    <w:rsid w:val="001A7388"/>
    <w:rsid w:val="001A7564"/>
    <w:rsid w:val="001C7676"/>
    <w:rsid w:val="001D57AF"/>
    <w:rsid w:val="001D63CF"/>
    <w:rsid w:val="001E2475"/>
    <w:rsid w:val="001E60F0"/>
    <w:rsid w:val="001F237B"/>
    <w:rsid w:val="001F2F8B"/>
    <w:rsid w:val="001F3414"/>
    <w:rsid w:val="00204030"/>
    <w:rsid w:val="00207936"/>
    <w:rsid w:val="00216205"/>
    <w:rsid w:val="002253F7"/>
    <w:rsid w:val="0023141D"/>
    <w:rsid w:val="0023408E"/>
    <w:rsid w:val="0023450F"/>
    <w:rsid w:val="00236403"/>
    <w:rsid w:val="002574EF"/>
    <w:rsid w:val="00257907"/>
    <w:rsid w:val="002629A4"/>
    <w:rsid w:val="002638A9"/>
    <w:rsid w:val="00272D9B"/>
    <w:rsid w:val="00277721"/>
    <w:rsid w:val="002828BC"/>
    <w:rsid w:val="00291208"/>
    <w:rsid w:val="002A26D1"/>
    <w:rsid w:val="002B0A18"/>
    <w:rsid w:val="002B221F"/>
    <w:rsid w:val="002B48B1"/>
    <w:rsid w:val="002C0806"/>
    <w:rsid w:val="002D1987"/>
    <w:rsid w:val="002E2213"/>
    <w:rsid w:val="002E225C"/>
    <w:rsid w:val="002F0E0E"/>
    <w:rsid w:val="002F3BD2"/>
    <w:rsid w:val="0030232B"/>
    <w:rsid w:val="00312B1E"/>
    <w:rsid w:val="00313381"/>
    <w:rsid w:val="00313F05"/>
    <w:rsid w:val="0031492D"/>
    <w:rsid w:val="00330C76"/>
    <w:rsid w:val="00347340"/>
    <w:rsid w:val="003476E1"/>
    <w:rsid w:val="003567BD"/>
    <w:rsid w:val="0036085B"/>
    <w:rsid w:val="0036159C"/>
    <w:rsid w:val="00365FAE"/>
    <w:rsid w:val="00384667"/>
    <w:rsid w:val="0039380D"/>
    <w:rsid w:val="003A222D"/>
    <w:rsid w:val="003B09D9"/>
    <w:rsid w:val="003B128C"/>
    <w:rsid w:val="003B6CA4"/>
    <w:rsid w:val="003B701C"/>
    <w:rsid w:val="003D15DD"/>
    <w:rsid w:val="003D20F2"/>
    <w:rsid w:val="003E0A9E"/>
    <w:rsid w:val="003E6416"/>
    <w:rsid w:val="003F3830"/>
    <w:rsid w:val="00410347"/>
    <w:rsid w:val="00414E43"/>
    <w:rsid w:val="00424977"/>
    <w:rsid w:val="0042525C"/>
    <w:rsid w:val="00433BF2"/>
    <w:rsid w:val="004367C9"/>
    <w:rsid w:val="00440980"/>
    <w:rsid w:val="004422ED"/>
    <w:rsid w:val="00453F7A"/>
    <w:rsid w:val="004636EE"/>
    <w:rsid w:val="004674AE"/>
    <w:rsid w:val="004777F1"/>
    <w:rsid w:val="00484BC8"/>
    <w:rsid w:val="004A5BEF"/>
    <w:rsid w:val="004B096C"/>
    <w:rsid w:val="004B2D4D"/>
    <w:rsid w:val="004C15FF"/>
    <w:rsid w:val="004D6D6E"/>
    <w:rsid w:val="004F1CD1"/>
    <w:rsid w:val="004F5F84"/>
    <w:rsid w:val="004F7EA2"/>
    <w:rsid w:val="00505F0C"/>
    <w:rsid w:val="00511393"/>
    <w:rsid w:val="00512BE4"/>
    <w:rsid w:val="00512C85"/>
    <w:rsid w:val="00513E83"/>
    <w:rsid w:val="00514E0F"/>
    <w:rsid w:val="0052258B"/>
    <w:rsid w:val="00542DD7"/>
    <w:rsid w:val="00543D0E"/>
    <w:rsid w:val="005573A9"/>
    <w:rsid w:val="00562788"/>
    <w:rsid w:val="00572136"/>
    <w:rsid w:val="00577C42"/>
    <w:rsid w:val="00585FCA"/>
    <w:rsid w:val="00590097"/>
    <w:rsid w:val="005A69B0"/>
    <w:rsid w:val="005A7D78"/>
    <w:rsid w:val="005B544A"/>
    <w:rsid w:val="005B5EF0"/>
    <w:rsid w:val="005B6C10"/>
    <w:rsid w:val="005C4BB7"/>
    <w:rsid w:val="005E040F"/>
    <w:rsid w:val="005E3C9A"/>
    <w:rsid w:val="005F4CD7"/>
    <w:rsid w:val="005F560A"/>
    <w:rsid w:val="005F582F"/>
    <w:rsid w:val="005F7F01"/>
    <w:rsid w:val="00601CA3"/>
    <w:rsid w:val="00616050"/>
    <w:rsid w:val="00624AEC"/>
    <w:rsid w:val="00624CA3"/>
    <w:rsid w:val="006334DF"/>
    <w:rsid w:val="00634F0F"/>
    <w:rsid w:val="00640C67"/>
    <w:rsid w:val="00642E14"/>
    <w:rsid w:val="006501E3"/>
    <w:rsid w:val="00656F3E"/>
    <w:rsid w:val="00665E89"/>
    <w:rsid w:val="006669D5"/>
    <w:rsid w:val="006708E6"/>
    <w:rsid w:val="00672CC2"/>
    <w:rsid w:val="006773CF"/>
    <w:rsid w:val="00690C33"/>
    <w:rsid w:val="006A17AB"/>
    <w:rsid w:val="006C62B4"/>
    <w:rsid w:val="006D103F"/>
    <w:rsid w:val="006D2D20"/>
    <w:rsid w:val="006D5A1F"/>
    <w:rsid w:val="006D609D"/>
    <w:rsid w:val="006D7E0A"/>
    <w:rsid w:val="006F0154"/>
    <w:rsid w:val="006F0EF7"/>
    <w:rsid w:val="0070272B"/>
    <w:rsid w:val="00705B22"/>
    <w:rsid w:val="00715F8B"/>
    <w:rsid w:val="00720AD4"/>
    <w:rsid w:val="00725FA5"/>
    <w:rsid w:val="00745EC0"/>
    <w:rsid w:val="00747C62"/>
    <w:rsid w:val="0075207F"/>
    <w:rsid w:val="00752C0C"/>
    <w:rsid w:val="007635FE"/>
    <w:rsid w:val="00777408"/>
    <w:rsid w:val="007932FB"/>
    <w:rsid w:val="00793E74"/>
    <w:rsid w:val="007A1EFE"/>
    <w:rsid w:val="007C2311"/>
    <w:rsid w:val="007C51A5"/>
    <w:rsid w:val="007C672C"/>
    <w:rsid w:val="007C7FEA"/>
    <w:rsid w:val="007E78E4"/>
    <w:rsid w:val="007F4360"/>
    <w:rsid w:val="008015E4"/>
    <w:rsid w:val="00802EE2"/>
    <w:rsid w:val="00815C00"/>
    <w:rsid w:val="0082428A"/>
    <w:rsid w:val="00832A64"/>
    <w:rsid w:val="00834EDC"/>
    <w:rsid w:val="00843AD4"/>
    <w:rsid w:val="00867EE5"/>
    <w:rsid w:val="00871DE1"/>
    <w:rsid w:val="0088263F"/>
    <w:rsid w:val="008A182E"/>
    <w:rsid w:val="008A24BB"/>
    <w:rsid w:val="008A7C7F"/>
    <w:rsid w:val="008B0837"/>
    <w:rsid w:val="008B79C5"/>
    <w:rsid w:val="008D5FEC"/>
    <w:rsid w:val="008F2B26"/>
    <w:rsid w:val="008F609D"/>
    <w:rsid w:val="00904F1B"/>
    <w:rsid w:val="00927050"/>
    <w:rsid w:val="009321A3"/>
    <w:rsid w:val="009342EA"/>
    <w:rsid w:val="009517B3"/>
    <w:rsid w:val="00963E45"/>
    <w:rsid w:val="00972B8C"/>
    <w:rsid w:val="00974018"/>
    <w:rsid w:val="009827E2"/>
    <w:rsid w:val="00986743"/>
    <w:rsid w:val="009A7A1F"/>
    <w:rsid w:val="009B0002"/>
    <w:rsid w:val="009B2F66"/>
    <w:rsid w:val="009B5A88"/>
    <w:rsid w:val="009C7AFF"/>
    <w:rsid w:val="009D4521"/>
    <w:rsid w:val="009D65FA"/>
    <w:rsid w:val="009F25B5"/>
    <w:rsid w:val="009F2887"/>
    <w:rsid w:val="00A02686"/>
    <w:rsid w:val="00A033FB"/>
    <w:rsid w:val="00A11C8D"/>
    <w:rsid w:val="00A1243B"/>
    <w:rsid w:val="00A17943"/>
    <w:rsid w:val="00A205FD"/>
    <w:rsid w:val="00A3731B"/>
    <w:rsid w:val="00A40C49"/>
    <w:rsid w:val="00A44238"/>
    <w:rsid w:val="00A53FE1"/>
    <w:rsid w:val="00A60653"/>
    <w:rsid w:val="00A74919"/>
    <w:rsid w:val="00A74FBF"/>
    <w:rsid w:val="00A7576A"/>
    <w:rsid w:val="00A8161C"/>
    <w:rsid w:val="00A8315E"/>
    <w:rsid w:val="00AA1F45"/>
    <w:rsid w:val="00AA20D0"/>
    <w:rsid w:val="00AA3734"/>
    <w:rsid w:val="00AA5E1F"/>
    <w:rsid w:val="00AB26F1"/>
    <w:rsid w:val="00AC1A5B"/>
    <w:rsid w:val="00AD0CF7"/>
    <w:rsid w:val="00AD50DA"/>
    <w:rsid w:val="00AE0669"/>
    <w:rsid w:val="00AE7932"/>
    <w:rsid w:val="00B06104"/>
    <w:rsid w:val="00B10F4A"/>
    <w:rsid w:val="00B11D06"/>
    <w:rsid w:val="00B13F03"/>
    <w:rsid w:val="00B274BB"/>
    <w:rsid w:val="00B458A4"/>
    <w:rsid w:val="00B46620"/>
    <w:rsid w:val="00B60F3B"/>
    <w:rsid w:val="00B62078"/>
    <w:rsid w:val="00B70DCD"/>
    <w:rsid w:val="00B72138"/>
    <w:rsid w:val="00B921D3"/>
    <w:rsid w:val="00BA6E41"/>
    <w:rsid w:val="00BB02C0"/>
    <w:rsid w:val="00BB5DCD"/>
    <w:rsid w:val="00BD1AF4"/>
    <w:rsid w:val="00BE4C53"/>
    <w:rsid w:val="00BE61CB"/>
    <w:rsid w:val="00BE7D99"/>
    <w:rsid w:val="00BF1FB5"/>
    <w:rsid w:val="00BF3545"/>
    <w:rsid w:val="00BF7C98"/>
    <w:rsid w:val="00C03820"/>
    <w:rsid w:val="00C04BC2"/>
    <w:rsid w:val="00C10914"/>
    <w:rsid w:val="00C14661"/>
    <w:rsid w:val="00C24DE2"/>
    <w:rsid w:val="00C41F10"/>
    <w:rsid w:val="00C500D2"/>
    <w:rsid w:val="00C50D23"/>
    <w:rsid w:val="00C72258"/>
    <w:rsid w:val="00C761A9"/>
    <w:rsid w:val="00C80256"/>
    <w:rsid w:val="00C8341C"/>
    <w:rsid w:val="00C839BC"/>
    <w:rsid w:val="00C83C57"/>
    <w:rsid w:val="00C95C4A"/>
    <w:rsid w:val="00CB7869"/>
    <w:rsid w:val="00CC3468"/>
    <w:rsid w:val="00CC40CD"/>
    <w:rsid w:val="00CD7565"/>
    <w:rsid w:val="00CE0B8A"/>
    <w:rsid w:val="00CE2E1B"/>
    <w:rsid w:val="00CE37E6"/>
    <w:rsid w:val="00CF390B"/>
    <w:rsid w:val="00CF5155"/>
    <w:rsid w:val="00D03130"/>
    <w:rsid w:val="00D05537"/>
    <w:rsid w:val="00D16BEA"/>
    <w:rsid w:val="00D200FB"/>
    <w:rsid w:val="00D2060D"/>
    <w:rsid w:val="00D26722"/>
    <w:rsid w:val="00D6161F"/>
    <w:rsid w:val="00D65133"/>
    <w:rsid w:val="00D66971"/>
    <w:rsid w:val="00D728BE"/>
    <w:rsid w:val="00D90956"/>
    <w:rsid w:val="00DB5A00"/>
    <w:rsid w:val="00DD2250"/>
    <w:rsid w:val="00DE320D"/>
    <w:rsid w:val="00DE6916"/>
    <w:rsid w:val="00E12D01"/>
    <w:rsid w:val="00E2461E"/>
    <w:rsid w:val="00E30763"/>
    <w:rsid w:val="00E403A4"/>
    <w:rsid w:val="00E41E36"/>
    <w:rsid w:val="00E54678"/>
    <w:rsid w:val="00E54F80"/>
    <w:rsid w:val="00E57B99"/>
    <w:rsid w:val="00E639BC"/>
    <w:rsid w:val="00E71F9D"/>
    <w:rsid w:val="00E82001"/>
    <w:rsid w:val="00E9202E"/>
    <w:rsid w:val="00E93BE0"/>
    <w:rsid w:val="00E95607"/>
    <w:rsid w:val="00EA0110"/>
    <w:rsid w:val="00EA04F7"/>
    <w:rsid w:val="00ED3DF9"/>
    <w:rsid w:val="00EE04DC"/>
    <w:rsid w:val="00EF0443"/>
    <w:rsid w:val="00F0356B"/>
    <w:rsid w:val="00F12B7C"/>
    <w:rsid w:val="00F14B94"/>
    <w:rsid w:val="00F157E7"/>
    <w:rsid w:val="00F41BE6"/>
    <w:rsid w:val="00F45802"/>
    <w:rsid w:val="00F52E0F"/>
    <w:rsid w:val="00F5736C"/>
    <w:rsid w:val="00F801C6"/>
    <w:rsid w:val="00F9027D"/>
    <w:rsid w:val="00F92F39"/>
    <w:rsid w:val="00FB1286"/>
    <w:rsid w:val="00FC6621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15FBCE"/>
  <w15:docId w15:val="{1302F47F-7569-4877-84EF-92A3AB2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uiPriority w:val="99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F8B"/>
  </w:style>
  <w:style w:type="paragraph" w:styleId="llb">
    <w:name w:val="footer"/>
    <w:basedOn w:val="Norml"/>
    <w:link w:val="llb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F8B"/>
  </w:style>
  <w:style w:type="paragraph" w:customStyle="1" w:styleId="Default">
    <w:name w:val="Default"/>
    <w:rsid w:val="00E12D01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505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h.hu/dontesek/agazati_vizsgalatok_piacelemzesek/agazati_vizsgalatok/jelentes-tervezet-a-fa-epitoanyagok-magyarorszagi-piacan-lefolytatott-gyorsitott-agazati-vizsgalatr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Csernyánszky Mihály dr.</cp:lastModifiedBy>
  <cp:revision>1227</cp:revision>
  <dcterms:created xsi:type="dcterms:W3CDTF">2021-09-30T12:31:00Z</dcterms:created>
  <dcterms:modified xsi:type="dcterms:W3CDTF">2021-12-22T09:03:00Z</dcterms:modified>
</cp:coreProperties>
</file>