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2859DA" w14:textId="1C7E6F82" w:rsidR="003567BD" w:rsidRDefault="00AA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Zöld lámpát adott a </w:t>
      </w:r>
      <w:r w:rsidR="000031CB">
        <w:rPr>
          <w:b/>
          <w:sz w:val="28"/>
          <w:szCs w:val="28"/>
        </w:rPr>
        <w:t xml:space="preserve">GVH </w:t>
      </w:r>
      <w:r w:rsidR="00B46620">
        <w:rPr>
          <w:b/>
          <w:sz w:val="28"/>
          <w:szCs w:val="28"/>
        </w:rPr>
        <w:t xml:space="preserve">a villamossági </w:t>
      </w:r>
      <w:r w:rsidR="003D15DD">
        <w:rPr>
          <w:b/>
          <w:sz w:val="28"/>
          <w:szCs w:val="28"/>
        </w:rPr>
        <w:t>nagy</w:t>
      </w:r>
      <w:r w:rsidR="00B46620">
        <w:rPr>
          <w:b/>
          <w:sz w:val="28"/>
          <w:szCs w:val="28"/>
        </w:rPr>
        <w:t>kereskedők fúziójának</w:t>
      </w:r>
      <w:r w:rsidR="003B128C">
        <w:rPr>
          <w:b/>
          <w:sz w:val="28"/>
          <w:szCs w:val="28"/>
        </w:rPr>
        <w:t xml:space="preserve"> </w:t>
      </w:r>
    </w:p>
    <w:p w14:paraId="6E898753" w14:textId="50429C86" w:rsidR="00054DF2" w:rsidRDefault="007932FB">
      <w:pPr>
        <w:tabs>
          <w:tab w:val="left" w:pos="567"/>
        </w:tabs>
        <w:spacing w:after="120"/>
        <w:ind w:left="851"/>
        <w:rPr>
          <w:b/>
        </w:rPr>
      </w:pPr>
      <w:r>
        <w:rPr>
          <w:b/>
        </w:rPr>
        <w:tab/>
        <w:t xml:space="preserve">Budapest, 2021. </w:t>
      </w:r>
      <w:r w:rsidR="00D6161F">
        <w:rPr>
          <w:b/>
        </w:rPr>
        <w:t>november</w:t>
      </w:r>
      <w:r w:rsidR="008B0837">
        <w:rPr>
          <w:b/>
        </w:rPr>
        <w:t xml:space="preserve"> </w:t>
      </w:r>
      <w:r w:rsidR="004F7EA2">
        <w:rPr>
          <w:b/>
        </w:rPr>
        <w:t>15</w:t>
      </w:r>
      <w:r w:rsidRPr="00C04BC2">
        <w:rPr>
          <w:b/>
        </w:rPr>
        <w:t>.</w:t>
      </w:r>
      <w:r>
        <w:rPr>
          <w:b/>
        </w:rPr>
        <w:t xml:space="preserve"> – A Gazdasági Versenyhivatal (GVH) </w:t>
      </w:r>
      <w:r w:rsidR="006334DF">
        <w:rPr>
          <w:b/>
        </w:rPr>
        <w:t xml:space="preserve">engedélyezte </w:t>
      </w:r>
      <w:r w:rsidR="00054DF2">
        <w:rPr>
          <w:b/>
        </w:rPr>
        <w:t xml:space="preserve">a </w:t>
      </w:r>
      <w:r w:rsidR="00C95C4A">
        <w:rPr>
          <w:b/>
        </w:rPr>
        <w:t xml:space="preserve">francia tulajdonszerzést egy </w:t>
      </w:r>
      <w:r w:rsidR="00054DF2">
        <w:rPr>
          <w:b/>
        </w:rPr>
        <w:t xml:space="preserve">hazai </w:t>
      </w:r>
      <w:r w:rsidR="00054DF2" w:rsidRPr="00054DF2">
        <w:rPr>
          <w:b/>
        </w:rPr>
        <w:t>villamossági termék-nagykereskedő</w:t>
      </w:r>
      <w:r w:rsidR="00C95C4A">
        <w:rPr>
          <w:b/>
        </w:rPr>
        <w:t xml:space="preserve"> felett</w:t>
      </w:r>
      <w:r w:rsidR="00054DF2">
        <w:rPr>
          <w:b/>
        </w:rPr>
        <w:t>, miután az alapos vizsgálat megállapította: a</w:t>
      </w:r>
      <w:r w:rsidR="00347340">
        <w:rPr>
          <w:b/>
        </w:rPr>
        <w:t xml:space="preserve">z ügylet </w:t>
      </w:r>
      <w:r w:rsidR="00054DF2">
        <w:rPr>
          <w:b/>
        </w:rPr>
        <w:t xml:space="preserve">nem </w:t>
      </w:r>
      <w:r w:rsidR="00054DF2" w:rsidRPr="00054DF2">
        <w:rPr>
          <w:b/>
        </w:rPr>
        <w:t>csökkenti jelentős mértékben a versenyt az érintett piacokon,</w:t>
      </w:r>
      <w:r w:rsidR="00054DF2">
        <w:rPr>
          <w:b/>
        </w:rPr>
        <w:t xml:space="preserve"> és</w:t>
      </w:r>
      <w:r w:rsidR="00054DF2" w:rsidRPr="00054DF2">
        <w:rPr>
          <w:b/>
        </w:rPr>
        <w:t xml:space="preserve"> káros hatás</w:t>
      </w:r>
      <w:r w:rsidR="00054DF2">
        <w:rPr>
          <w:b/>
        </w:rPr>
        <w:t>ai</w:t>
      </w:r>
      <w:r w:rsidR="00054DF2" w:rsidRPr="00054DF2">
        <w:rPr>
          <w:b/>
        </w:rPr>
        <w:t xml:space="preserve"> </w:t>
      </w:r>
      <w:r w:rsidR="00054DF2">
        <w:rPr>
          <w:b/>
        </w:rPr>
        <w:t>s</w:t>
      </w:r>
      <w:r w:rsidR="00054DF2" w:rsidRPr="00054DF2">
        <w:rPr>
          <w:b/>
        </w:rPr>
        <w:t xml:space="preserve">em </w:t>
      </w:r>
      <w:r w:rsidR="00054DF2">
        <w:rPr>
          <w:b/>
        </w:rPr>
        <w:t>várhatóak.</w:t>
      </w:r>
    </w:p>
    <w:p w14:paraId="4D1151CB" w14:textId="675BFCF3" w:rsidR="006C62B4" w:rsidRDefault="007932FB" w:rsidP="006C62B4">
      <w:pPr>
        <w:spacing w:after="120"/>
        <w:ind w:firstLine="509"/>
      </w:pPr>
      <w:r>
        <w:t xml:space="preserve">A Gazdasági Versenyhivatal </w:t>
      </w:r>
      <w:hyperlink r:id="rId7" w:history="1">
        <w:r w:rsidR="00453F7A" w:rsidRPr="00512BE4">
          <w:rPr>
            <w:rStyle w:val="Hiperhivatkozs"/>
          </w:rPr>
          <w:t>nyáron</w:t>
        </w:r>
        <w:r w:rsidR="00511393" w:rsidRPr="00512BE4">
          <w:rPr>
            <w:rStyle w:val="Hiperhivatkozs"/>
          </w:rPr>
          <w:t xml:space="preserve"> indított vizsgálatot</w:t>
        </w:r>
      </w:hyperlink>
      <w:r w:rsidR="00511393">
        <w:t xml:space="preserve"> </w:t>
      </w:r>
      <w:r w:rsidR="00512BE4">
        <w:t xml:space="preserve">a </w:t>
      </w:r>
      <w:r w:rsidR="00512BE4" w:rsidRPr="00512BE4">
        <w:t>villamossági termékek nagykereskedelmével foglalkozó Újfa-Vill Kereskedelmi Kft.</w:t>
      </w:r>
      <w:r w:rsidR="00512BE4">
        <w:t xml:space="preserve"> és </w:t>
      </w:r>
      <w:r w:rsidR="00512BE4" w:rsidRPr="00512BE4">
        <w:t xml:space="preserve">francia Sonepar-csoport </w:t>
      </w:r>
      <w:r w:rsidR="00277721">
        <w:t>hazai leányvál</w:t>
      </w:r>
      <w:r w:rsidR="009B5A88">
        <w:t>l</w:t>
      </w:r>
      <w:r w:rsidR="00277721">
        <w:t>alatának</w:t>
      </w:r>
      <w:r w:rsidR="00512BE4">
        <w:t xml:space="preserve"> összefonódására.</w:t>
      </w:r>
      <w:r w:rsidR="006C62B4">
        <w:t xml:space="preserve"> Az</w:t>
      </w:r>
      <w:r w:rsidR="006C62B4" w:rsidRPr="00652903">
        <w:t xml:space="preserve"> előzetes adatok alapján</w:t>
      </w:r>
      <w:r w:rsidR="006C62B4">
        <w:t xml:space="preserve"> ugyanis</w:t>
      </w:r>
      <w:r w:rsidR="006C62B4" w:rsidRPr="00652903">
        <w:t xml:space="preserve"> </w:t>
      </w:r>
      <w:r w:rsidR="006C62B4">
        <w:t>a versenyhatóság nem tudta felmérni</w:t>
      </w:r>
      <w:r w:rsidR="00384667">
        <w:t>,</w:t>
      </w:r>
      <w:r w:rsidR="006C62B4">
        <w:t xml:space="preserve"> </w:t>
      </w:r>
      <w:r w:rsidR="00384667" w:rsidRPr="00384667">
        <w:t>a fúzió milyen hatással lenne a</w:t>
      </w:r>
      <w:r w:rsidR="003F3830">
        <w:t xml:space="preserve"> termékeket felhasználó,</w:t>
      </w:r>
      <w:r w:rsidR="00384667" w:rsidRPr="00384667">
        <w:t xml:space="preserve"> óriási drágulással küzdő építőipari ágazatra.</w:t>
      </w:r>
    </w:p>
    <w:p w14:paraId="7BBEF349" w14:textId="7F739EAA" w:rsidR="0036159C" w:rsidRDefault="003F3830" w:rsidP="009D65FA">
      <w:pPr>
        <w:spacing w:after="120"/>
        <w:ind w:firstLine="509"/>
      </w:pPr>
      <w:r w:rsidRPr="00985AA8">
        <w:t xml:space="preserve">A </w:t>
      </w:r>
      <w:r>
        <w:t>versenyhatóság hatás</w:t>
      </w:r>
      <w:r w:rsidRPr="00985AA8">
        <w:t>vizsgálat</w:t>
      </w:r>
      <w:r>
        <w:t>a</w:t>
      </w:r>
      <w:r w:rsidRPr="00985AA8">
        <w:t xml:space="preserve"> az értéklánc minden fontosabb szintjére kiterjedt. A </w:t>
      </w:r>
      <w:r w:rsidR="0036159C">
        <w:t>GVH</w:t>
      </w:r>
      <w:r w:rsidRPr="00985AA8">
        <w:t xml:space="preserve"> az eljárás során megbeszélést folytatott a</w:t>
      </w:r>
      <w:r w:rsidR="0036159C">
        <w:t xml:space="preserve"> piac</w:t>
      </w:r>
      <w:r w:rsidRPr="00985AA8">
        <w:t xml:space="preserve"> meghatározó szereplő</w:t>
      </w:r>
      <w:r w:rsidR="0036159C">
        <w:t>ive</w:t>
      </w:r>
      <w:r w:rsidRPr="00985AA8">
        <w:t>l,</w:t>
      </w:r>
      <w:r>
        <w:t xml:space="preserve"> számos versenytárssal és</w:t>
      </w:r>
      <w:r w:rsidRPr="00985AA8">
        <w:t xml:space="preserve"> beszállí</w:t>
      </w:r>
      <w:r>
        <w:t>tóv</w:t>
      </w:r>
      <w:r w:rsidRPr="00985AA8">
        <w:t>al, beszerzési társulásokkal, valamint érdekképviseleti szervekkel is.</w:t>
      </w:r>
      <w:r w:rsidR="0036159C">
        <w:t xml:space="preserve"> A Versenyhivatal csaknem 30 különböző</w:t>
      </w:r>
      <w:r w:rsidR="004F5F84">
        <w:t xml:space="preserve"> szereplőtől</w:t>
      </w:r>
      <w:r w:rsidR="0036159C">
        <w:t xml:space="preserve"> </w:t>
      </w:r>
      <w:r w:rsidR="004F5F84">
        <w:t xml:space="preserve">szerzett be </w:t>
      </w:r>
      <w:r w:rsidR="0036159C">
        <w:t>adat</w:t>
      </w:r>
      <w:r w:rsidR="004F5F84">
        <w:t>okat a</w:t>
      </w:r>
      <w:r w:rsidR="009D65FA">
        <w:t>z eljáráshoz.</w:t>
      </w:r>
    </w:p>
    <w:p w14:paraId="29C6EAA7" w14:textId="6D4B513F" w:rsidR="00086051" w:rsidRDefault="00086051" w:rsidP="00834EDC">
      <w:pPr>
        <w:spacing w:after="120"/>
        <w:ind w:firstLine="509"/>
      </w:pPr>
      <w:r w:rsidRPr="00985AA8">
        <w:t>A vizsgálat eredményei azt mutatták, hogy a piacon megfigyelhető áremelkedés nem magyar sajátosság, a drágulás nemzetközi viszonylatban is megfigyelhető, fő oka</w:t>
      </w:r>
      <w:r w:rsidR="008F609D">
        <w:t xml:space="preserve"> pedig</w:t>
      </w:r>
      <w:r w:rsidRPr="00985AA8">
        <w:t xml:space="preserve"> a nyersanyagok (réz, alumínium, acél, műanyag) világpiaci ár</w:t>
      </w:r>
      <w:r w:rsidR="00D6161F">
        <w:t>á</w:t>
      </w:r>
      <w:r w:rsidRPr="00985AA8">
        <w:t xml:space="preserve">nak növekedésében keresendő. </w:t>
      </w:r>
      <w:r w:rsidRPr="00BD6A07">
        <w:t>A GVH</w:t>
      </w:r>
      <w:r>
        <w:t xml:space="preserve"> </w:t>
      </w:r>
      <w:r w:rsidR="005F4CD7">
        <w:t>–</w:t>
      </w:r>
      <w:r>
        <w:t xml:space="preserve"> az érintett piacok alapos </w:t>
      </w:r>
      <w:r w:rsidR="00E57B99">
        <w:t>elemzését</w:t>
      </w:r>
      <w:r>
        <w:t xml:space="preserve"> követően </w:t>
      </w:r>
      <w:r w:rsidR="005F4CD7">
        <w:t>– meg</w:t>
      </w:r>
      <w:r w:rsidRPr="00BD6A07">
        <w:t xml:space="preserve">állapította, hogy </w:t>
      </w:r>
      <w:r w:rsidR="005F4CD7">
        <w:t xml:space="preserve">az </w:t>
      </w:r>
      <w:r w:rsidRPr="00BD6A07">
        <w:t>összefonódás nem csökkenti jelentős mértékben a versenyt az érintett piacokon</w:t>
      </w:r>
      <w:r w:rsidR="001F237B">
        <w:t xml:space="preserve"> és </w:t>
      </w:r>
      <w:r>
        <w:t>káros hatások nem valószínűsíthetők.</w:t>
      </w:r>
      <w:r w:rsidR="00BE7D99">
        <w:t xml:space="preserve"> A vers</w:t>
      </w:r>
      <w:r w:rsidR="00E57B99">
        <w:t>e</w:t>
      </w:r>
      <w:r w:rsidR="00BE7D99">
        <w:t>nyhatóság</w:t>
      </w:r>
      <w:r w:rsidR="00E57B99">
        <w:t xml:space="preserve"> így jóváhagyta a kérdéses tranzakciót.</w:t>
      </w:r>
    </w:p>
    <w:p w14:paraId="4E35CBE7" w14:textId="32090DFF" w:rsidR="003567BD" w:rsidRDefault="007932FB" w:rsidP="00086051">
      <w:pPr>
        <w:spacing w:after="120"/>
        <w:rPr>
          <w:b/>
        </w:rPr>
      </w:pPr>
      <w:r>
        <w:t xml:space="preserve">Az ügy </w:t>
      </w:r>
      <w:r w:rsidRPr="00086051">
        <w:t>hivatali</w:t>
      </w:r>
      <w:r>
        <w:t xml:space="preserve"> nyilvántartási száma: </w:t>
      </w:r>
      <w:r>
        <w:rPr>
          <w:b/>
        </w:rPr>
        <w:t>VJ/</w:t>
      </w:r>
      <w:r w:rsidR="00C04BC2">
        <w:rPr>
          <w:b/>
        </w:rPr>
        <w:t>30/</w:t>
      </w:r>
      <w:r>
        <w:rPr>
          <w:b/>
        </w:rPr>
        <w:t>20</w:t>
      </w:r>
      <w:r w:rsidR="006708E6">
        <w:rPr>
          <w:b/>
        </w:rPr>
        <w:t>2</w:t>
      </w:r>
      <w:r w:rsidR="00086051">
        <w:rPr>
          <w:b/>
        </w:rPr>
        <w:t>1</w:t>
      </w:r>
      <w:r>
        <w:rPr>
          <w:b/>
        </w:rPr>
        <w:t>.</w:t>
      </w:r>
    </w:p>
    <w:p w14:paraId="00DC41DA" w14:textId="77777777" w:rsidR="003567BD" w:rsidRDefault="007932FB" w:rsidP="00086051">
      <w:pPr>
        <w:spacing w:after="120"/>
      </w:pPr>
      <w:r>
        <w:t>GVH Sajtóiroda</w:t>
      </w:r>
    </w:p>
    <w:sectPr w:rsidR="003567BD">
      <w:footerReference w:type="default" r:id="rId8"/>
      <w:headerReference w:type="first" r:id="rId9"/>
      <w:footerReference w:type="first" r:id="rId10"/>
      <w:pgSz w:w="11906" w:h="16838"/>
      <w:pgMar w:top="1525" w:right="1418" w:bottom="605" w:left="1134" w:header="568" w:footer="5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BB91" w14:textId="77777777" w:rsidR="00B13F03" w:rsidRDefault="00B13F03">
      <w:pPr>
        <w:spacing w:after="0" w:line="240" w:lineRule="auto"/>
      </w:pPr>
      <w:r>
        <w:separator/>
      </w:r>
    </w:p>
  </w:endnote>
  <w:endnote w:type="continuationSeparator" w:id="0">
    <w:p w14:paraId="341AB651" w14:textId="77777777" w:rsidR="00B13F03" w:rsidRDefault="00B1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725FA5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6A84" w14:textId="77777777" w:rsidR="003567BD" w:rsidRDefault="007932FB">
    <w:pPr>
      <w:tabs>
        <w:tab w:val="left" w:pos="3226"/>
      </w:tabs>
    </w:pPr>
    <w:r>
      <w:rPr>
        <w:rFonts w:ascii="Arial" w:eastAsia="Arial" w:hAnsi="Arial" w:cs="Arial"/>
        <w:sz w:val="18"/>
        <w:szCs w:val="18"/>
      </w:rPr>
      <w:t xml:space="preserve">1054 Budapest, Alkotmány u. 5.    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AFCB2" w14:textId="77777777" w:rsidR="00B13F03" w:rsidRDefault="00B13F03">
      <w:pPr>
        <w:spacing w:after="0" w:line="240" w:lineRule="auto"/>
      </w:pPr>
      <w:r>
        <w:separator/>
      </w:r>
    </w:p>
  </w:footnote>
  <w:footnote w:type="continuationSeparator" w:id="0">
    <w:p w14:paraId="53CD0677" w14:textId="77777777" w:rsidR="00B13F03" w:rsidRDefault="00B1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10AA" w14:textId="77777777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9926AB" w14:textId="77777777" w:rsidR="003567BD" w:rsidRDefault="003567BD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BD"/>
    <w:rsid w:val="000031CB"/>
    <w:rsid w:val="00027B65"/>
    <w:rsid w:val="00030E1F"/>
    <w:rsid w:val="00054DF2"/>
    <w:rsid w:val="00077BFB"/>
    <w:rsid w:val="00086051"/>
    <w:rsid w:val="000A79CA"/>
    <w:rsid w:val="000B1433"/>
    <w:rsid w:val="000B1D31"/>
    <w:rsid w:val="000B30A6"/>
    <w:rsid w:val="000B752A"/>
    <w:rsid w:val="000E6CEA"/>
    <w:rsid w:val="00103FEF"/>
    <w:rsid w:val="00142C1F"/>
    <w:rsid w:val="00144184"/>
    <w:rsid w:val="00145FDD"/>
    <w:rsid w:val="00151A27"/>
    <w:rsid w:val="001A7388"/>
    <w:rsid w:val="001A7564"/>
    <w:rsid w:val="001D57AF"/>
    <w:rsid w:val="001E60F0"/>
    <w:rsid w:val="001F237B"/>
    <w:rsid w:val="00204030"/>
    <w:rsid w:val="0023141D"/>
    <w:rsid w:val="0023450F"/>
    <w:rsid w:val="00236403"/>
    <w:rsid w:val="00277721"/>
    <w:rsid w:val="002B221F"/>
    <w:rsid w:val="002E2213"/>
    <w:rsid w:val="002F3BD2"/>
    <w:rsid w:val="0030232B"/>
    <w:rsid w:val="00313381"/>
    <w:rsid w:val="00313F05"/>
    <w:rsid w:val="00347340"/>
    <w:rsid w:val="003476E1"/>
    <w:rsid w:val="003567BD"/>
    <w:rsid w:val="0036159C"/>
    <w:rsid w:val="00384667"/>
    <w:rsid w:val="003B09D9"/>
    <w:rsid w:val="003B128C"/>
    <w:rsid w:val="003B6CA4"/>
    <w:rsid w:val="003D15DD"/>
    <w:rsid w:val="003E6416"/>
    <w:rsid w:val="003F3830"/>
    <w:rsid w:val="00414E43"/>
    <w:rsid w:val="00433BF2"/>
    <w:rsid w:val="004367C9"/>
    <w:rsid w:val="004422ED"/>
    <w:rsid w:val="00453F7A"/>
    <w:rsid w:val="004636EE"/>
    <w:rsid w:val="00484BC8"/>
    <w:rsid w:val="004B2D4D"/>
    <w:rsid w:val="004F5F84"/>
    <w:rsid w:val="004F7EA2"/>
    <w:rsid w:val="00511393"/>
    <w:rsid w:val="00512BE4"/>
    <w:rsid w:val="00512C85"/>
    <w:rsid w:val="00513E83"/>
    <w:rsid w:val="00514E0F"/>
    <w:rsid w:val="00543D0E"/>
    <w:rsid w:val="00572136"/>
    <w:rsid w:val="00577C42"/>
    <w:rsid w:val="00585FCA"/>
    <w:rsid w:val="00590097"/>
    <w:rsid w:val="005A7D78"/>
    <w:rsid w:val="005B5EF0"/>
    <w:rsid w:val="005C4BB7"/>
    <w:rsid w:val="005E040F"/>
    <w:rsid w:val="005F4CD7"/>
    <w:rsid w:val="005F7F01"/>
    <w:rsid w:val="00616050"/>
    <w:rsid w:val="00624AEC"/>
    <w:rsid w:val="006334DF"/>
    <w:rsid w:val="00634F0F"/>
    <w:rsid w:val="00640C67"/>
    <w:rsid w:val="00665E89"/>
    <w:rsid w:val="006669D5"/>
    <w:rsid w:val="006708E6"/>
    <w:rsid w:val="006773CF"/>
    <w:rsid w:val="00690C33"/>
    <w:rsid w:val="006A17AB"/>
    <w:rsid w:val="006C62B4"/>
    <w:rsid w:val="006D103F"/>
    <w:rsid w:val="006D2D20"/>
    <w:rsid w:val="006D5A1F"/>
    <w:rsid w:val="006D7E0A"/>
    <w:rsid w:val="0070272B"/>
    <w:rsid w:val="00725FA5"/>
    <w:rsid w:val="00745EC0"/>
    <w:rsid w:val="00747C62"/>
    <w:rsid w:val="0075207F"/>
    <w:rsid w:val="007635FE"/>
    <w:rsid w:val="007932FB"/>
    <w:rsid w:val="007A1EFE"/>
    <w:rsid w:val="007C2311"/>
    <w:rsid w:val="007C51A5"/>
    <w:rsid w:val="007C672C"/>
    <w:rsid w:val="007C7FEA"/>
    <w:rsid w:val="007E78E4"/>
    <w:rsid w:val="007F4360"/>
    <w:rsid w:val="00815C00"/>
    <w:rsid w:val="00832A64"/>
    <w:rsid w:val="00834EDC"/>
    <w:rsid w:val="00871DE1"/>
    <w:rsid w:val="0088263F"/>
    <w:rsid w:val="008B0837"/>
    <w:rsid w:val="008F2B26"/>
    <w:rsid w:val="008F609D"/>
    <w:rsid w:val="00927050"/>
    <w:rsid w:val="009342EA"/>
    <w:rsid w:val="009517B3"/>
    <w:rsid w:val="00963E45"/>
    <w:rsid w:val="009A7A1F"/>
    <w:rsid w:val="009B5A88"/>
    <w:rsid w:val="009D4521"/>
    <w:rsid w:val="009D65FA"/>
    <w:rsid w:val="009F2887"/>
    <w:rsid w:val="00A11C8D"/>
    <w:rsid w:val="00A1243B"/>
    <w:rsid w:val="00A17943"/>
    <w:rsid w:val="00A40C49"/>
    <w:rsid w:val="00A60653"/>
    <w:rsid w:val="00A74FBF"/>
    <w:rsid w:val="00A7576A"/>
    <w:rsid w:val="00A8161C"/>
    <w:rsid w:val="00A8315E"/>
    <w:rsid w:val="00AA1F45"/>
    <w:rsid w:val="00AB26F1"/>
    <w:rsid w:val="00AD0CF7"/>
    <w:rsid w:val="00AD50DA"/>
    <w:rsid w:val="00B06104"/>
    <w:rsid w:val="00B11D06"/>
    <w:rsid w:val="00B13F03"/>
    <w:rsid w:val="00B274BB"/>
    <w:rsid w:val="00B458A4"/>
    <w:rsid w:val="00B46620"/>
    <w:rsid w:val="00B921D3"/>
    <w:rsid w:val="00BB02C0"/>
    <w:rsid w:val="00BE61CB"/>
    <w:rsid w:val="00BE7D99"/>
    <w:rsid w:val="00BF1FB5"/>
    <w:rsid w:val="00BF3545"/>
    <w:rsid w:val="00BF7C98"/>
    <w:rsid w:val="00C03820"/>
    <w:rsid w:val="00C04BC2"/>
    <w:rsid w:val="00C24DE2"/>
    <w:rsid w:val="00C41F10"/>
    <w:rsid w:val="00C500D2"/>
    <w:rsid w:val="00C50D23"/>
    <w:rsid w:val="00C72258"/>
    <w:rsid w:val="00C8341C"/>
    <w:rsid w:val="00C839BC"/>
    <w:rsid w:val="00C95C4A"/>
    <w:rsid w:val="00CC40CD"/>
    <w:rsid w:val="00CD7565"/>
    <w:rsid w:val="00CE0B8A"/>
    <w:rsid w:val="00CE2E1B"/>
    <w:rsid w:val="00CE37E6"/>
    <w:rsid w:val="00D16BEA"/>
    <w:rsid w:val="00D200FB"/>
    <w:rsid w:val="00D2060D"/>
    <w:rsid w:val="00D26722"/>
    <w:rsid w:val="00D6161F"/>
    <w:rsid w:val="00D90956"/>
    <w:rsid w:val="00DD2250"/>
    <w:rsid w:val="00DE6916"/>
    <w:rsid w:val="00E403A4"/>
    <w:rsid w:val="00E41E36"/>
    <w:rsid w:val="00E54F80"/>
    <w:rsid w:val="00E57B99"/>
    <w:rsid w:val="00E71F9D"/>
    <w:rsid w:val="00E82001"/>
    <w:rsid w:val="00EA0110"/>
    <w:rsid w:val="00EA04F7"/>
    <w:rsid w:val="00F12B7C"/>
    <w:rsid w:val="00F45802"/>
    <w:rsid w:val="00F52E0F"/>
    <w:rsid w:val="00F5736C"/>
    <w:rsid w:val="00FC6621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BCE"/>
  <w15:docId w15:val="{1302F47F-7569-4877-84EF-92A3AB2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uiPriority w:val="99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h.hu/sajtoszoba/sajtokozlemenyek/2021-es-sajtokozlemenyek/kulfoldi-cegfelvasarlast-vizsgal-a-gvh-az-epitoipar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Csernyánszky Mihály dr.</cp:lastModifiedBy>
  <cp:revision>790</cp:revision>
  <dcterms:created xsi:type="dcterms:W3CDTF">2021-09-30T12:31:00Z</dcterms:created>
  <dcterms:modified xsi:type="dcterms:W3CDTF">2021-11-15T09:43:00Z</dcterms:modified>
</cp:coreProperties>
</file>