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36" w:rsidRPr="00861E7B" w:rsidRDefault="00861E7B">
      <w:pPr>
        <w:tabs>
          <w:tab w:val="left" w:pos="851"/>
        </w:tabs>
        <w:ind w:left="851"/>
        <w:jc w:val="center"/>
        <w:rPr>
          <w:b/>
          <w:sz w:val="32"/>
          <w:szCs w:val="32"/>
        </w:rPr>
      </w:pPr>
      <w:r w:rsidRPr="00861E7B">
        <w:rPr>
          <w:b/>
          <w:sz w:val="32"/>
          <w:szCs w:val="32"/>
        </w:rPr>
        <w:t>Sikeres egyezségi eljárás után csökkentett bírságot szabott ki a GVH árrögzítés, piacfelosztás és információcsere miatt az ingatlanközvetítői piacon</w:t>
      </w:r>
      <w:bookmarkStart w:id="0" w:name="_GoBack"/>
      <w:bookmarkEnd w:id="0"/>
    </w:p>
    <w:p w:rsidR="00100F05" w:rsidRPr="00100F05" w:rsidRDefault="00100F05" w:rsidP="00100F05">
      <w:pPr>
        <w:tabs>
          <w:tab w:val="left" w:pos="851"/>
        </w:tabs>
        <w:ind w:left="851"/>
        <w:rPr>
          <w:b/>
          <w:szCs w:val="24"/>
        </w:rPr>
      </w:pPr>
      <w:r w:rsidRPr="00100F05">
        <w:rPr>
          <w:b/>
          <w:szCs w:val="24"/>
        </w:rPr>
        <w:t>A Gazdasági Versenyhivatal (GVH) döntése szerint a</w:t>
      </w:r>
      <w:r w:rsidR="00775D08">
        <w:rPr>
          <w:b/>
          <w:szCs w:val="24"/>
        </w:rPr>
        <w:t xml:space="preserve"> </w:t>
      </w:r>
      <w:r w:rsidR="00EF3C6F" w:rsidRPr="00EF3C6F">
        <w:rPr>
          <w:b/>
          <w:szCs w:val="24"/>
        </w:rPr>
        <w:t xml:space="preserve">Duna House Holding </w:t>
      </w:r>
      <w:proofErr w:type="spellStart"/>
      <w:r w:rsidR="00EF3C6F" w:rsidRPr="00EF3C6F">
        <w:rPr>
          <w:b/>
          <w:szCs w:val="24"/>
        </w:rPr>
        <w:t>Nyrt</w:t>
      </w:r>
      <w:proofErr w:type="spellEnd"/>
      <w:r w:rsidR="00EF3C6F" w:rsidRPr="00EF3C6F">
        <w:rPr>
          <w:b/>
          <w:szCs w:val="24"/>
        </w:rPr>
        <w:t xml:space="preserve">. </w:t>
      </w:r>
      <w:r w:rsidR="0083146F">
        <w:rPr>
          <w:b/>
          <w:szCs w:val="24"/>
        </w:rPr>
        <w:t xml:space="preserve">(DHH) </w:t>
      </w:r>
      <w:r w:rsidR="00EF3C6F" w:rsidRPr="00EF3C6F">
        <w:rPr>
          <w:b/>
          <w:szCs w:val="24"/>
        </w:rPr>
        <w:t>és az Otthon Centrum Holding Kft.</w:t>
      </w:r>
      <w:r w:rsidR="0083146F">
        <w:rPr>
          <w:b/>
          <w:szCs w:val="24"/>
        </w:rPr>
        <w:t xml:space="preserve"> (OCH)</w:t>
      </w:r>
      <w:r w:rsidR="00EF3C6F">
        <w:rPr>
          <w:b/>
          <w:szCs w:val="24"/>
        </w:rPr>
        <w:t>,</w:t>
      </w:r>
      <w:r w:rsidR="00EF3C6F" w:rsidRPr="00EF3C6F">
        <w:rPr>
          <w:b/>
          <w:szCs w:val="24"/>
        </w:rPr>
        <w:t xml:space="preserve"> valamint a Duna House Franchise Szolgáltató Kft. </w:t>
      </w:r>
      <w:r w:rsidR="0083146F">
        <w:rPr>
          <w:b/>
          <w:szCs w:val="24"/>
        </w:rPr>
        <w:t xml:space="preserve">(DHF) </w:t>
      </w:r>
      <w:r w:rsidR="00EF3C6F" w:rsidRPr="00EF3C6F">
        <w:rPr>
          <w:b/>
          <w:szCs w:val="24"/>
        </w:rPr>
        <w:t xml:space="preserve">és az Otthon Centrum </w:t>
      </w:r>
      <w:proofErr w:type="spellStart"/>
      <w:r w:rsidR="00EF3C6F" w:rsidRPr="00EF3C6F">
        <w:rPr>
          <w:b/>
          <w:szCs w:val="24"/>
        </w:rPr>
        <w:t>Franchising</w:t>
      </w:r>
      <w:proofErr w:type="spellEnd"/>
      <w:r w:rsidR="00EF3C6F" w:rsidRPr="00EF3C6F">
        <w:rPr>
          <w:b/>
          <w:szCs w:val="24"/>
        </w:rPr>
        <w:t xml:space="preserve"> Tanácsadó Kft. </w:t>
      </w:r>
      <w:r w:rsidR="0083146F">
        <w:rPr>
          <w:b/>
          <w:szCs w:val="24"/>
        </w:rPr>
        <w:t xml:space="preserve">(OCF) </w:t>
      </w:r>
      <w:r w:rsidR="00EF3C6F">
        <w:rPr>
          <w:b/>
          <w:szCs w:val="24"/>
        </w:rPr>
        <w:t>összehangolta árpolitikájá</w:t>
      </w:r>
      <w:r w:rsidR="00EF3C6F" w:rsidRPr="00EF3C6F">
        <w:rPr>
          <w:b/>
          <w:szCs w:val="24"/>
        </w:rPr>
        <w:t xml:space="preserve">t, </w:t>
      </w:r>
      <w:r w:rsidR="00EF3C6F">
        <w:rPr>
          <w:b/>
          <w:szCs w:val="24"/>
        </w:rPr>
        <w:t xml:space="preserve">egyúttal </w:t>
      </w:r>
      <w:r w:rsidR="00EF3C6F" w:rsidRPr="00EF3C6F">
        <w:rPr>
          <w:b/>
          <w:szCs w:val="24"/>
        </w:rPr>
        <w:t>bizalmas</w:t>
      </w:r>
      <w:r w:rsidR="00EF3C6F">
        <w:rPr>
          <w:b/>
          <w:szCs w:val="24"/>
        </w:rPr>
        <w:t>, üzleti információkat osztott</w:t>
      </w:r>
      <w:r w:rsidR="00EF3C6F" w:rsidRPr="00EF3C6F">
        <w:rPr>
          <w:b/>
          <w:szCs w:val="24"/>
        </w:rPr>
        <w:t xml:space="preserve"> meg egymással</w:t>
      </w:r>
      <w:r w:rsidR="00EF3C6F">
        <w:rPr>
          <w:b/>
          <w:szCs w:val="24"/>
        </w:rPr>
        <w:t xml:space="preserve"> </w:t>
      </w:r>
      <w:r w:rsidR="00EF3C6F" w:rsidRPr="00EF3C6F">
        <w:rPr>
          <w:b/>
          <w:szCs w:val="24"/>
        </w:rPr>
        <w:t>keresztértékesítési együttműködés</w:t>
      </w:r>
      <w:r w:rsidR="009C726C">
        <w:rPr>
          <w:b/>
          <w:szCs w:val="24"/>
        </w:rPr>
        <w:t>ei</w:t>
      </w:r>
      <w:r w:rsidR="00EF3C6F">
        <w:rPr>
          <w:b/>
          <w:szCs w:val="24"/>
        </w:rPr>
        <w:t>k keretében</w:t>
      </w:r>
      <w:r w:rsidR="003601F0">
        <w:rPr>
          <w:b/>
          <w:szCs w:val="24"/>
        </w:rPr>
        <w:t xml:space="preserve">. </w:t>
      </w:r>
      <w:r w:rsidR="00FA6C38">
        <w:rPr>
          <w:b/>
          <w:szCs w:val="24"/>
        </w:rPr>
        <w:t xml:space="preserve">A GVH jogsértőnek találta a </w:t>
      </w:r>
      <w:r w:rsidR="0083146F">
        <w:rPr>
          <w:b/>
          <w:szCs w:val="24"/>
        </w:rPr>
        <w:t xml:space="preserve">DHF </w:t>
      </w:r>
      <w:r w:rsidR="00FA6C38" w:rsidRPr="00FA6C38">
        <w:rPr>
          <w:b/>
          <w:szCs w:val="24"/>
        </w:rPr>
        <w:t xml:space="preserve">és az </w:t>
      </w:r>
      <w:r w:rsidR="0083146F">
        <w:rPr>
          <w:b/>
          <w:szCs w:val="24"/>
        </w:rPr>
        <w:t xml:space="preserve">OCH </w:t>
      </w:r>
      <w:r w:rsidR="00FA6C38">
        <w:rPr>
          <w:b/>
          <w:szCs w:val="24"/>
        </w:rPr>
        <w:t>által, a franchise hálózatok tagjainál alkalmazandó megbízási díjak meghatározását</w:t>
      </w:r>
      <w:r w:rsidR="003601F0">
        <w:rPr>
          <w:b/>
          <w:szCs w:val="24"/>
        </w:rPr>
        <w:t xml:space="preserve"> (</w:t>
      </w:r>
      <w:r w:rsidR="002C1119">
        <w:rPr>
          <w:b/>
          <w:szCs w:val="24"/>
        </w:rPr>
        <w:t xml:space="preserve">azaz, a </w:t>
      </w:r>
      <w:r w:rsidR="003601F0">
        <w:rPr>
          <w:b/>
          <w:szCs w:val="24"/>
        </w:rPr>
        <w:t>minimum jutalékok alkalmazását)</w:t>
      </w:r>
      <w:r w:rsidR="00FA6C38">
        <w:rPr>
          <w:b/>
          <w:szCs w:val="24"/>
        </w:rPr>
        <w:t>, és a franchise partnerek működési t</w:t>
      </w:r>
      <w:r w:rsidR="009C726C">
        <w:rPr>
          <w:b/>
          <w:szCs w:val="24"/>
        </w:rPr>
        <w:t>erületére vonatkozó korlátozások</w:t>
      </w:r>
      <w:r w:rsidR="00FA6C38">
        <w:rPr>
          <w:b/>
          <w:szCs w:val="24"/>
        </w:rPr>
        <w:t xml:space="preserve">at. </w:t>
      </w:r>
      <w:r w:rsidRPr="00100F05">
        <w:rPr>
          <w:b/>
          <w:szCs w:val="24"/>
        </w:rPr>
        <w:t xml:space="preserve">A </w:t>
      </w:r>
      <w:r w:rsidR="00FA6C38">
        <w:rPr>
          <w:b/>
          <w:szCs w:val="24"/>
        </w:rPr>
        <w:t xml:space="preserve">különböző </w:t>
      </w:r>
      <w:r w:rsidRPr="00100F05">
        <w:rPr>
          <w:b/>
          <w:szCs w:val="24"/>
        </w:rPr>
        <w:t>jogsértés</w:t>
      </w:r>
      <w:r w:rsidR="00FA6C38">
        <w:rPr>
          <w:b/>
          <w:szCs w:val="24"/>
        </w:rPr>
        <w:t>ek</w:t>
      </w:r>
      <w:r w:rsidRPr="00100F05">
        <w:rPr>
          <w:b/>
          <w:szCs w:val="24"/>
        </w:rPr>
        <w:t>ért összesen</w:t>
      </w:r>
      <w:r w:rsidR="00FA6C38">
        <w:rPr>
          <w:b/>
          <w:szCs w:val="24"/>
        </w:rPr>
        <w:t xml:space="preserve"> 75 millió 680 ezer forint</w:t>
      </w:r>
      <w:r w:rsidRPr="00100F05">
        <w:rPr>
          <w:b/>
          <w:szCs w:val="24"/>
        </w:rPr>
        <w:t xml:space="preserve"> bírságot szabott ki a GVH</w:t>
      </w:r>
      <w:r w:rsidR="00910BE9" w:rsidRPr="00910BE9">
        <w:rPr>
          <w:b/>
          <w:szCs w:val="24"/>
        </w:rPr>
        <w:t xml:space="preserve"> </w:t>
      </w:r>
      <w:r w:rsidR="00910BE9" w:rsidRPr="00100F05">
        <w:rPr>
          <w:b/>
          <w:szCs w:val="24"/>
        </w:rPr>
        <w:t>a vállalkozásokkal szemben</w:t>
      </w:r>
      <w:r w:rsidRPr="00100F05">
        <w:rPr>
          <w:b/>
          <w:szCs w:val="24"/>
        </w:rPr>
        <w:t>.</w:t>
      </w:r>
    </w:p>
    <w:p w:rsidR="000A45D5" w:rsidRDefault="00775D08">
      <w:pPr>
        <w:tabs>
          <w:tab w:val="left" w:pos="851"/>
        </w:tabs>
        <w:ind w:left="851"/>
        <w:rPr>
          <w:szCs w:val="24"/>
        </w:rPr>
      </w:pPr>
      <w:r w:rsidRPr="00775D08">
        <w:rPr>
          <w:szCs w:val="24"/>
        </w:rPr>
        <w:t>A GVH vizsgálata feltárta, hogy</w:t>
      </w:r>
      <w:r w:rsidR="003601F0">
        <w:rPr>
          <w:szCs w:val="24"/>
        </w:rPr>
        <w:t xml:space="preserve"> a két hálózat egyeztetéseket folytatott </w:t>
      </w:r>
      <w:r w:rsidR="000E03CE">
        <w:rPr>
          <w:szCs w:val="24"/>
        </w:rPr>
        <w:t>2013 áprilisa és 2014 júniusa között</w:t>
      </w:r>
    </w:p>
    <w:p w:rsidR="003601F0" w:rsidRPr="000E03CE" w:rsidRDefault="003601F0" w:rsidP="00CD723B">
      <w:pPr>
        <w:pStyle w:val="Listaszerbekezds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3CE">
        <w:rPr>
          <w:rFonts w:ascii="Times New Roman" w:hAnsi="Times New Roman"/>
          <w:sz w:val="24"/>
          <w:szCs w:val="24"/>
        </w:rPr>
        <w:t xml:space="preserve">a kizárólagos megbízásállományok megosztásáról </w:t>
      </w:r>
      <w:r w:rsidR="009C726C">
        <w:rPr>
          <w:rFonts w:ascii="Times New Roman" w:hAnsi="Times New Roman"/>
          <w:sz w:val="24"/>
          <w:szCs w:val="24"/>
        </w:rPr>
        <w:t>–</w:t>
      </w:r>
      <w:r w:rsidRPr="000E03CE">
        <w:rPr>
          <w:rFonts w:ascii="Times New Roman" w:hAnsi="Times New Roman"/>
          <w:sz w:val="24"/>
          <w:szCs w:val="24"/>
        </w:rPr>
        <w:t xml:space="preserve"> </w:t>
      </w:r>
      <w:r w:rsidR="002C1119">
        <w:rPr>
          <w:rFonts w:ascii="Times New Roman" w:hAnsi="Times New Roman"/>
          <w:sz w:val="24"/>
          <w:szCs w:val="24"/>
        </w:rPr>
        <w:t xml:space="preserve">növelve </w:t>
      </w:r>
      <w:r w:rsidRPr="000E03CE">
        <w:rPr>
          <w:rFonts w:ascii="Times New Roman" w:hAnsi="Times New Roman"/>
          <w:sz w:val="24"/>
          <w:szCs w:val="24"/>
        </w:rPr>
        <w:t>a két hálózat bevételeit, és erősítve piaci pozícióikat</w:t>
      </w:r>
      <w:r w:rsidR="0083146F" w:rsidRPr="000E03CE">
        <w:rPr>
          <w:rFonts w:ascii="Times New Roman" w:hAnsi="Times New Roman"/>
          <w:sz w:val="24"/>
          <w:szCs w:val="24"/>
        </w:rPr>
        <w:t>;</w:t>
      </w:r>
    </w:p>
    <w:p w:rsidR="003601F0" w:rsidRPr="0083146F" w:rsidRDefault="003601F0" w:rsidP="00CD723B">
      <w:pPr>
        <w:pStyle w:val="Listaszerbekezds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146F">
        <w:rPr>
          <w:rFonts w:ascii="Times New Roman" w:hAnsi="Times New Roman"/>
          <w:sz w:val="24"/>
          <w:szCs w:val="24"/>
        </w:rPr>
        <w:t>az együttműködéssel érintett területeken alkalmazandó százalékos és fix összegű megbízási díjak (megbízási jutalék vagy kötési jutalék) mértékéről</w:t>
      </w:r>
      <w:r w:rsidR="0083146F">
        <w:rPr>
          <w:rFonts w:ascii="Times New Roman" w:hAnsi="Times New Roman"/>
          <w:sz w:val="24"/>
          <w:szCs w:val="24"/>
        </w:rPr>
        <w:t>;</w:t>
      </w:r>
    </w:p>
    <w:p w:rsidR="0083146F" w:rsidRPr="0083146F" w:rsidRDefault="003601F0" w:rsidP="00CD723B">
      <w:pPr>
        <w:pStyle w:val="Listaszerbekezds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146F">
        <w:rPr>
          <w:rFonts w:ascii="Times New Roman" w:hAnsi="Times New Roman"/>
          <w:sz w:val="24"/>
          <w:szCs w:val="24"/>
        </w:rPr>
        <w:t>a keresztértékesítés</w:t>
      </w:r>
      <w:r w:rsidR="002C1119">
        <w:rPr>
          <w:rFonts w:ascii="Times New Roman" w:hAnsi="Times New Roman"/>
          <w:sz w:val="24"/>
          <w:szCs w:val="24"/>
        </w:rPr>
        <w:t>kor</w:t>
      </w:r>
      <w:r w:rsidRPr="0083146F">
        <w:rPr>
          <w:rFonts w:ascii="Times New Roman" w:hAnsi="Times New Roman"/>
          <w:sz w:val="24"/>
          <w:szCs w:val="24"/>
        </w:rPr>
        <w:t xml:space="preserve"> felmerülő, a vevőoldali</w:t>
      </w:r>
      <w:r w:rsidR="0083146F" w:rsidRPr="0083146F">
        <w:rPr>
          <w:rFonts w:ascii="Times New Roman" w:hAnsi="Times New Roman"/>
          <w:sz w:val="24"/>
          <w:szCs w:val="24"/>
        </w:rPr>
        <w:t xml:space="preserve"> értékesítőt megillető jutalékról</w:t>
      </w:r>
      <w:r w:rsidRPr="0083146F">
        <w:rPr>
          <w:rFonts w:ascii="Times New Roman" w:hAnsi="Times New Roman"/>
          <w:sz w:val="24"/>
          <w:szCs w:val="24"/>
        </w:rPr>
        <w:t>, meghatározva annak minimum százal</w:t>
      </w:r>
      <w:r w:rsidR="0083146F" w:rsidRPr="0083146F">
        <w:rPr>
          <w:rFonts w:ascii="Times New Roman" w:hAnsi="Times New Roman"/>
          <w:sz w:val="24"/>
          <w:szCs w:val="24"/>
        </w:rPr>
        <w:t>ékát és összegét, valamint az adható kedvezmény mértékét;</w:t>
      </w:r>
    </w:p>
    <w:p w:rsidR="003601F0" w:rsidRPr="0083146F" w:rsidRDefault="003601F0" w:rsidP="00CD723B">
      <w:pPr>
        <w:pStyle w:val="Listaszerbekezds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146F">
        <w:rPr>
          <w:rFonts w:ascii="Times New Roman" w:hAnsi="Times New Roman"/>
          <w:sz w:val="24"/>
          <w:szCs w:val="24"/>
        </w:rPr>
        <w:t>egyes érzékeny üzleti információk – így a DHF és az OCF</w:t>
      </w:r>
      <w:r w:rsidR="0083146F" w:rsidRPr="0083146F">
        <w:rPr>
          <w:rFonts w:ascii="Times New Roman" w:hAnsi="Times New Roman"/>
          <w:sz w:val="24"/>
          <w:szCs w:val="24"/>
        </w:rPr>
        <w:t xml:space="preserve"> egyes értékesítési folyamatai</w:t>
      </w:r>
      <w:r w:rsidR="002C1119">
        <w:rPr>
          <w:rFonts w:ascii="Times New Roman" w:hAnsi="Times New Roman"/>
          <w:sz w:val="24"/>
          <w:szCs w:val="24"/>
        </w:rPr>
        <w:t>t</w:t>
      </w:r>
      <w:r w:rsidRPr="0083146F">
        <w:rPr>
          <w:rFonts w:ascii="Times New Roman" w:hAnsi="Times New Roman"/>
          <w:sz w:val="24"/>
          <w:szCs w:val="24"/>
        </w:rPr>
        <w:t>, valamint megbízásállományá</w:t>
      </w:r>
      <w:r w:rsidR="002C1119">
        <w:rPr>
          <w:rFonts w:ascii="Times New Roman" w:hAnsi="Times New Roman"/>
          <w:sz w:val="24"/>
          <w:szCs w:val="24"/>
        </w:rPr>
        <w:t>t érintő</w:t>
      </w:r>
      <w:r w:rsidRPr="0083146F">
        <w:rPr>
          <w:rFonts w:ascii="Times New Roman" w:hAnsi="Times New Roman"/>
          <w:sz w:val="24"/>
          <w:szCs w:val="24"/>
        </w:rPr>
        <w:t xml:space="preserve"> egyes adatok</w:t>
      </w:r>
      <w:r w:rsidR="0083146F" w:rsidRPr="0083146F">
        <w:rPr>
          <w:rFonts w:ascii="Times New Roman" w:hAnsi="Times New Roman"/>
          <w:sz w:val="24"/>
          <w:szCs w:val="24"/>
        </w:rPr>
        <w:t xml:space="preserve"> – megosztásáról</w:t>
      </w:r>
      <w:r w:rsidR="0083146F">
        <w:rPr>
          <w:rFonts w:ascii="Times New Roman" w:hAnsi="Times New Roman"/>
          <w:sz w:val="24"/>
          <w:szCs w:val="24"/>
        </w:rPr>
        <w:t>.</w:t>
      </w:r>
    </w:p>
    <w:p w:rsidR="00775D08" w:rsidRDefault="000E03CE">
      <w:pPr>
        <w:ind w:left="851"/>
        <w:rPr>
          <w:szCs w:val="24"/>
        </w:rPr>
      </w:pPr>
      <w:r>
        <w:rPr>
          <w:szCs w:val="24"/>
        </w:rPr>
        <w:t xml:space="preserve">A GVH döntésében megállapította </w:t>
      </w:r>
      <w:r w:rsidR="002C1119">
        <w:rPr>
          <w:szCs w:val="24"/>
        </w:rPr>
        <w:t>még</w:t>
      </w:r>
      <w:r>
        <w:rPr>
          <w:szCs w:val="24"/>
        </w:rPr>
        <w:t>, hogy a DHF és az általa létrehozott ingatlanközvetítői hálózat tagjai</w:t>
      </w:r>
      <w:r w:rsidR="00601A0D" w:rsidRPr="00601A0D">
        <w:rPr>
          <w:szCs w:val="24"/>
        </w:rPr>
        <w:t xml:space="preserve"> közötti</w:t>
      </w:r>
      <w:r>
        <w:rPr>
          <w:szCs w:val="24"/>
        </w:rPr>
        <w:t xml:space="preserve">, valamint az OCH </w:t>
      </w:r>
      <w:r w:rsidRPr="000E03CE">
        <w:rPr>
          <w:szCs w:val="24"/>
        </w:rPr>
        <w:t>és az általa létrehozott ingatlanközvetítői hálózat tagjai</w:t>
      </w:r>
      <w:r>
        <w:rPr>
          <w:szCs w:val="24"/>
        </w:rPr>
        <w:t xml:space="preserve"> közötti szerződések meggátolták (vagy tiltással</w:t>
      </w:r>
      <w:r w:rsidR="002C1119">
        <w:rPr>
          <w:szCs w:val="24"/>
        </w:rPr>
        <w:t>,</w:t>
      </w:r>
      <w:r>
        <w:rPr>
          <w:szCs w:val="24"/>
        </w:rPr>
        <w:t xml:space="preserve"> vagy szankciók alkalmazásával) a franchise partnerek szabad árképzését, és megtiltották a </w:t>
      </w:r>
      <w:r w:rsidR="002C1119">
        <w:rPr>
          <w:szCs w:val="24"/>
        </w:rPr>
        <w:t xml:space="preserve">megbízásfelvételt </w:t>
      </w:r>
      <w:r>
        <w:rPr>
          <w:szCs w:val="24"/>
        </w:rPr>
        <w:t>más franchise partnerek területé</w:t>
      </w:r>
      <w:r w:rsidR="002C1119">
        <w:rPr>
          <w:szCs w:val="24"/>
        </w:rPr>
        <w:t>n</w:t>
      </w:r>
      <w:r>
        <w:rPr>
          <w:szCs w:val="24"/>
        </w:rPr>
        <w:t xml:space="preserve"> </w:t>
      </w:r>
      <w:r w:rsidR="009C726C">
        <w:rPr>
          <w:szCs w:val="24"/>
        </w:rPr>
        <w:t xml:space="preserve">a DHF esetében </w:t>
      </w:r>
      <w:r>
        <w:rPr>
          <w:szCs w:val="24"/>
        </w:rPr>
        <w:t xml:space="preserve">2003. és 2015., </w:t>
      </w:r>
      <w:r w:rsidR="009C726C">
        <w:rPr>
          <w:szCs w:val="24"/>
        </w:rPr>
        <w:t xml:space="preserve">az OCH esetében </w:t>
      </w:r>
      <w:r w:rsidR="002C1119">
        <w:rPr>
          <w:szCs w:val="24"/>
        </w:rPr>
        <w:t xml:space="preserve">pedig </w:t>
      </w:r>
      <w:r>
        <w:rPr>
          <w:szCs w:val="24"/>
        </w:rPr>
        <w:t xml:space="preserve">2004. és 2015. között. </w:t>
      </w:r>
    </w:p>
    <w:p w:rsidR="00601A0D" w:rsidRPr="00601A0D" w:rsidRDefault="00601A0D" w:rsidP="00601A0D">
      <w:pPr>
        <w:tabs>
          <w:tab w:val="left" w:pos="851"/>
        </w:tabs>
        <w:ind w:left="851"/>
        <w:rPr>
          <w:szCs w:val="24"/>
        </w:rPr>
      </w:pPr>
      <w:r w:rsidRPr="00F12BE0">
        <w:rPr>
          <w:szCs w:val="24"/>
        </w:rPr>
        <w:t xml:space="preserve">A GVH a kiszabott bírság alapösszegének megállapításához – releváns forgalomként – </w:t>
      </w:r>
      <w:r w:rsidRPr="00601A0D">
        <w:rPr>
          <w:szCs w:val="24"/>
        </w:rPr>
        <w:t>az</w:t>
      </w:r>
      <w:r>
        <w:rPr>
          <w:szCs w:val="24"/>
        </w:rPr>
        <w:t xml:space="preserve"> egyes</w:t>
      </w:r>
      <w:r w:rsidRPr="00601A0D">
        <w:rPr>
          <w:szCs w:val="24"/>
        </w:rPr>
        <w:t xml:space="preserve"> ingatlanközvetítői franchise-rendszer</w:t>
      </w:r>
      <w:r>
        <w:rPr>
          <w:szCs w:val="24"/>
        </w:rPr>
        <w:t>ek</w:t>
      </w:r>
      <w:r w:rsidRPr="00601A0D">
        <w:rPr>
          <w:szCs w:val="24"/>
        </w:rPr>
        <w:t xml:space="preserve"> működtetéséből származó díjak </w:t>
      </w:r>
      <w:r>
        <w:rPr>
          <w:szCs w:val="24"/>
        </w:rPr>
        <w:t xml:space="preserve">időarányos nettó összegét vette figyelembe. </w:t>
      </w:r>
    </w:p>
    <w:p w:rsidR="008602D6" w:rsidRDefault="008602D6" w:rsidP="008602D6">
      <w:pPr>
        <w:tabs>
          <w:tab w:val="left" w:pos="851"/>
        </w:tabs>
        <w:rPr>
          <w:szCs w:val="24"/>
        </w:rPr>
      </w:pPr>
      <w:r>
        <w:rPr>
          <w:szCs w:val="24"/>
        </w:rPr>
        <w:t xml:space="preserve">A GVH értékelte azt is, hogy az </w:t>
      </w:r>
      <w:r w:rsidRPr="008602D6">
        <w:rPr>
          <w:szCs w:val="24"/>
        </w:rPr>
        <w:t>eljárás alá vont</w:t>
      </w:r>
      <w:r>
        <w:rPr>
          <w:szCs w:val="24"/>
        </w:rPr>
        <w:t xml:space="preserve"> vállalkozások</w:t>
      </w:r>
      <w:r w:rsidRPr="008602D6">
        <w:rPr>
          <w:szCs w:val="24"/>
        </w:rPr>
        <w:t xml:space="preserve"> piaci részesedése jelenleg meghatározó az érintett piacon, </w:t>
      </w:r>
      <w:r w:rsidR="002C1119">
        <w:rPr>
          <w:szCs w:val="24"/>
        </w:rPr>
        <w:t>bár</w:t>
      </w:r>
      <w:r w:rsidR="002C1119" w:rsidRPr="008602D6">
        <w:rPr>
          <w:szCs w:val="24"/>
        </w:rPr>
        <w:t xml:space="preserve"> </w:t>
      </w:r>
      <w:r w:rsidRPr="008602D6">
        <w:rPr>
          <w:szCs w:val="24"/>
        </w:rPr>
        <w:t>a jogsértések kezdetén alacsonyabb piaci részesedéssel rendelkeztek.</w:t>
      </w:r>
    </w:p>
    <w:p w:rsidR="00601A0D" w:rsidRDefault="008602D6" w:rsidP="00601A0D">
      <w:pPr>
        <w:tabs>
          <w:tab w:val="left" w:pos="851"/>
        </w:tabs>
        <w:ind w:left="851"/>
        <w:rPr>
          <w:szCs w:val="24"/>
        </w:rPr>
      </w:pPr>
      <w:r>
        <w:rPr>
          <w:szCs w:val="24"/>
        </w:rPr>
        <w:lastRenderedPageBreak/>
        <w:t xml:space="preserve">A </w:t>
      </w:r>
      <w:r w:rsidR="00601A0D" w:rsidRPr="00876C31">
        <w:rPr>
          <w:szCs w:val="24"/>
        </w:rPr>
        <w:t xml:space="preserve">GVH </w:t>
      </w:r>
      <w:r>
        <w:rPr>
          <w:szCs w:val="24"/>
        </w:rPr>
        <w:t xml:space="preserve">ezen ügyben is </w:t>
      </w:r>
      <w:r w:rsidR="00601A0D" w:rsidRPr="00876C31">
        <w:rPr>
          <w:szCs w:val="24"/>
        </w:rPr>
        <w:t>nyilatkozattételre hívta a vállalkozásokat, és megkérdezte tőlük, hogy részt kívánnak-e venni egyezségi kísérletben az eljárás gyors és eredményes befejezése érdekében.</w:t>
      </w:r>
      <w:r w:rsidR="009C726C">
        <w:rPr>
          <w:szCs w:val="24"/>
        </w:rPr>
        <w:t xml:space="preserve"> </w:t>
      </w:r>
      <w:r w:rsidR="00601A0D">
        <w:rPr>
          <w:szCs w:val="24"/>
        </w:rPr>
        <w:t xml:space="preserve">Ez után az ügyben a </w:t>
      </w:r>
      <w:r w:rsidR="0045665E">
        <w:rPr>
          <w:szCs w:val="24"/>
        </w:rPr>
        <w:t xml:space="preserve">vállalkozások </w:t>
      </w:r>
      <w:r w:rsidR="00601A0D" w:rsidRPr="00F12BE0">
        <w:rPr>
          <w:szCs w:val="24"/>
        </w:rPr>
        <w:t>egyezségi nyilatkozato</w:t>
      </w:r>
      <w:r w:rsidR="0045665E">
        <w:rPr>
          <w:szCs w:val="24"/>
        </w:rPr>
        <w:t>ka</w:t>
      </w:r>
      <w:r w:rsidR="00601A0D" w:rsidRPr="00F12BE0">
        <w:rPr>
          <w:szCs w:val="24"/>
        </w:rPr>
        <w:t>t nyújtott</w:t>
      </w:r>
      <w:r w:rsidR="0045665E">
        <w:rPr>
          <w:szCs w:val="24"/>
        </w:rPr>
        <w:t>ak</w:t>
      </w:r>
      <w:r w:rsidR="00601A0D" w:rsidRPr="00F12BE0">
        <w:rPr>
          <w:szCs w:val="24"/>
        </w:rPr>
        <w:t xml:space="preserve"> be, amely</w:t>
      </w:r>
      <w:r w:rsidR="002C1119">
        <w:rPr>
          <w:szCs w:val="24"/>
        </w:rPr>
        <w:t>ek</w:t>
      </w:r>
      <w:r w:rsidR="00601A0D" w:rsidRPr="00F12BE0">
        <w:rPr>
          <w:szCs w:val="24"/>
        </w:rPr>
        <w:t xml:space="preserve">ben </w:t>
      </w:r>
      <w:r w:rsidR="00601A0D">
        <w:rPr>
          <w:szCs w:val="24"/>
        </w:rPr>
        <w:t xml:space="preserve">egyebek mellett </w:t>
      </w:r>
      <w:r w:rsidR="0045665E">
        <w:rPr>
          <w:szCs w:val="24"/>
        </w:rPr>
        <w:t>önkéntesen elismerték</w:t>
      </w:r>
      <w:r w:rsidR="00601A0D" w:rsidRPr="00F12BE0">
        <w:rPr>
          <w:szCs w:val="24"/>
        </w:rPr>
        <w:t xml:space="preserve"> a jo</w:t>
      </w:r>
      <w:r w:rsidR="00601A0D">
        <w:rPr>
          <w:szCs w:val="24"/>
        </w:rPr>
        <w:t>gsért</w:t>
      </w:r>
      <w:r w:rsidR="009C726C">
        <w:rPr>
          <w:szCs w:val="24"/>
        </w:rPr>
        <w:t>és elkövetését, így a GVH a velük</w:t>
      </w:r>
      <w:r w:rsidR="00601A0D">
        <w:rPr>
          <w:szCs w:val="24"/>
        </w:rPr>
        <w:t xml:space="preserve"> szemben alkalmazott bírságot </w:t>
      </w:r>
      <w:r w:rsidR="0045665E">
        <w:rPr>
          <w:szCs w:val="24"/>
        </w:rPr>
        <w:t xml:space="preserve">– a </w:t>
      </w:r>
      <w:r w:rsidR="009C726C">
        <w:rPr>
          <w:szCs w:val="24"/>
        </w:rPr>
        <w:t xml:space="preserve">versenytörvény </w:t>
      </w:r>
      <w:r w:rsidR="00910BE9">
        <w:rPr>
          <w:szCs w:val="24"/>
        </w:rPr>
        <w:t xml:space="preserve">új, tavaly </w:t>
      </w:r>
      <w:r w:rsidR="0045665E">
        <w:rPr>
          <w:szCs w:val="24"/>
        </w:rPr>
        <w:t>decembe</w:t>
      </w:r>
      <w:r w:rsidR="009C726C">
        <w:rPr>
          <w:szCs w:val="24"/>
        </w:rPr>
        <w:t>r 16-ától hatályos rendelkezései</w:t>
      </w:r>
      <w:r w:rsidR="0045665E">
        <w:rPr>
          <w:szCs w:val="24"/>
        </w:rPr>
        <w:t xml:space="preserve"> értelmében – 3</w:t>
      </w:r>
      <w:r w:rsidR="00601A0D">
        <w:rPr>
          <w:szCs w:val="24"/>
        </w:rPr>
        <w:t xml:space="preserve">0%-kal csökkentette. </w:t>
      </w:r>
    </w:p>
    <w:p w:rsidR="00601A0D" w:rsidRDefault="00601A0D" w:rsidP="00601A0D">
      <w:pPr>
        <w:tabs>
          <w:tab w:val="left" w:pos="851"/>
        </w:tabs>
        <w:ind w:left="851"/>
        <w:rPr>
          <w:szCs w:val="24"/>
        </w:rPr>
      </w:pPr>
      <w:r w:rsidRPr="00F33209">
        <w:rPr>
          <w:szCs w:val="24"/>
        </w:rPr>
        <w:t>Az egyezségi eljárás l</w:t>
      </w:r>
      <w:r w:rsidR="0045665E">
        <w:rPr>
          <w:szCs w:val="24"/>
        </w:rPr>
        <w:t xml:space="preserve">ényege, hogy a versenyhatóság </w:t>
      </w:r>
      <w:r w:rsidR="00D109AA">
        <w:rPr>
          <w:szCs w:val="24"/>
        </w:rPr>
        <w:t>10-</w:t>
      </w:r>
      <w:r w:rsidR="0045665E">
        <w:rPr>
          <w:szCs w:val="24"/>
        </w:rPr>
        <w:t>30</w:t>
      </w:r>
      <w:r w:rsidRPr="00F33209">
        <w:rPr>
          <w:szCs w:val="24"/>
        </w:rPr>
        <w:t>%-kal csökkenti a bírság összegét,</w:t>
      </w:r>
      <w:r w:rsidRPr="0011609E">
        <w:rPr>
          <w:szCs w:val="24"/>
        </w:rPr>
        <w:t xml:space="preserve"> ha az eljárás alá vont vállalkozás elismeri </w:t>
      </w:r>
      <w:r w:rsidR="00910BE9" w:rsidRPr="0011609E">
        <w:rPr>
          <w:szCs w:val="24"/>
        </w:rPr>
        <w:t xml:space="preserve">az általa elkövetett jogsértést </w:t>
      </w:r>
      <w:r w:rsidRPr="0011609E">
        <w:rPr>
          <w:szCs w:val="24"/>
        </w:rPr>
        <w:t xml:space="preserve">az elé tárt bizonyítékok alapján, továbbá lemond részletesebb irat-betekintési, nyilatkozattételi, tárgyalás tartására irányuló és bírósági jogorvoslati jogáról, hozzájárulva az eljárások gyorsabb és kevesebb erőforrást igénylő lezárásához. Az egyezségi eljárás nemcsak a hatóság, hanem a vállalkozások </w:t>
      </w:r>
      <w:r>
        <w:rPr>
          <w:szCs w:val="24"/>
        </w:rPr>
        <w:t>számára</w:t>
      </w:r>
      <w:r w:rsidRPr="0011609E">
        <w:rPr>
          <w:szCs w:val="24"/>
        </w:rPr>
        <w:t xml:space="preserve"> is jelentős költség-megtakarít</w:t>
      </w:r>
      <w:r w:rsidR="0045665E">
        <w:rPr>
          <w:szCs w:val="24"/>
        </w:rPr>
        <w:t>ást eredményezhet. Ezen túl a 30</w:t>
      </w:r>
      <w:r w:rsidRPr="0011609E">
        <w:rPr>
          <w:szCs w:val="24"/>
        </w:rPr>
        <w:t xml:space="preserve">%-os bírságcsökkentési kedvezmény növelhető is, ha az eljárás alá vont vállalkozás egyúttal részt vesz az </w:t>
      </w:r>
      <w:hyperlink r:id="rId9" w:history="1">
        <w:r w:rsidRPr="00F23803">
          <w:rPr>
            <w:rStyle w:val="Hiperhivatkozs"/>
            <w:rFonts w:ascii="Times New Roman" w:hAnsi="Times New Roman"/>
            <w:szCs w:val="24"/>
          </w:rPr>
          <w:t>engedékenységi program</w:t>
        </w:r>
      </w:hyperlink>
      <w:r w:rsidRPr="0011609E">
        <w:rPr>
          <w:szCs w:val="24"/>
        </w:rPr>
        <w:t>ban is</w:t>
      </w:r>
      <w:r>
        <w:rPr>
          <w:szCs w:val="24"/>
        </w:rPr>
        <w:t>, amellyel</w:t>
      </w:r>
      <w:r w:rsidRPr="0011609E">
        <w:rPr>
          <w:szCs w:val="24"/>
        </w:rPr>
        <w:t xml:space="preserve"> akár 50%-os bírságcsökkentést is </w:t>
      </w:r>
      <w:r>
        <w:rPr>
          <w:szCs w:val="24"/>
        </w:rPr>
        <w:t>elérhet</w:t>
      </w:r>
      <w:r w:rsidRPr="0011609E">
        <w:rPr>
          <w:szCs w:val="24"/>
        </w:rPr>
        <w:t>.</w:t>
      </w:r>
      <w:r>
        <w:rPr>
          <w:szCs w:val="24"/>
        </w:rPr>
        <w:t xml:space="preserve"> Az egyezségről további részletek </w:t>
      </w:r>
      <w:hyperlink r:id="rId10" w:history="1">
        <w:r w:rsidRPr="0011609E">
          <w:rPr>
            <w:rStyle w:val="Hiperhivatkozs"/>
            <w:rFonts w:ascii="Times New Roman" w:hAnsi="Times New Roman"/>
            <w:szCs w:val="24"/>
          </w:rPr>
          <w:t>itt</w:t>
        </w:r>
      </w:hyperlink>
      <w:r>
        <w:rPr>
          <w:szCs w:val="24"/>
        </w:rPr>
        <w:t xml:space="preserve">, a GVH-val való egyéb együttműködési lehetőségekről információk </w:t>
      </w:r>
      <w:hyperlink r:id="rId11" w:history="1">
        <w:r w:rsidRPr="00F23803">
          <w:rPr>
            <w:rStyle w:val="Hiperhivatkozs"/>
            <w:rFonts w:ascii="Times New Roman" w:hAnsi="Times New Roman"/>
            <w:szCs w:val="24"/>
          </w:rPr>
          <w:t>itt</w:t>
        </w:r>
      </w:hyperlink>
      <w:r w:rsidRPr="007B0330">
        <w:rPr>
          <w:szCs w:val="24"/>
        </w:rPr>
        <w:t xml:space="preserve"> </w:t>
      </w:r>
      <w:r>
        <w:rPr>
          <w:szCs w:val="24"/>
        </w:rPr>
        <w:t>olvashatók.</w:t>
      </w:r>
    </w:p>
    <w:p w:rsidR="00775D08" w:rsidRDefault="00601A0D" w:rsidP="00601A0D">
      <w:pPr>
        <w:tabs>
          <w:tab w:val="left" w:pos="851"/>
        </w:tabs>
        <w:ind w:left="851"/>
        <w:rPr>
          <w:szCs w:val="24"/>
        </w:rPr>
      </w:pPr>
      <w:r w:rsidRPr="004D273D">
        <w:rPr>
          <w:szCs w:val="24"/>
        </w:rPr>
        <w:t>Az ügy</w:t>
      </w:r>
      <w:r>
        <w:rPr>
          <w:szCs w:val="24"/>
        </w:rPr>
        <w:t>ek</w:t>
      </w:r>
      <w:r w:rsidRPr="004D273D">
        <w:rPr>
          <w:szCs w:val="24"/>
        </w:rPr>
        <w:t xml:space="preserve"> hivatali nyilvántartási száma</w:t>
      </w:r>
      <w:r>
        <w:rPr>
          <w:szCs w:val="24"/>
        </w:rPr>
        <w:t>i</w:t>
      </w:r>
      <w:r w:rsidRPr="004D273D">
        <w:rPr>
          <w:szCs w:val="24"/>
        </w:rPr>
        <w:t xml:space="preserve">: </w:t>
      </w:r>
      <w:proofErr w:type="spellStart"/>
      <w:r>
        <w:rPr>
          <w:b/>
          <w:szCs w:val="24"/>
        </w:rPr>
        <w:t>Vj</w:t>
      </w:r>
      <w:proofErr w:type="spellEnd"/>
      <w:r>
        <w:rPr>
          <w:b/>
          <w:szCs w:val="24"/>
        </w:rPr>
        <w:t>/57/2014</w:t>
      </w:r>
      <w:r w:rsidRPr="004D273D">
        <w:rPr>
          <w:b/>
          <w:szCs w:val="24"/>
        </w:rPr>
        <w:t>.</w:t>
      </w:r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Vj</w:t>
      </w:r>
      <w:proofErr w:type="spellEnd"/>
      <w:r>
        <w:rPr>
          <w:b/>
          <w:szCs w:val="24"/>
        </w:rPr>
        <w:t xml:space="preserve">/74/2014., </w:t>
      </w:r>
      <w:proofErr w:type="spellStart"/>
      <w:r>
        <w:rPr>
          <w:b/>
          <w:szCs w:val="24"/>
        </w:rPr>
        <w:t>Vj</w:t>
      </w:r>
      <w:proofErr w:type="spellEnd"/>
      <w:r>
        <w:rPr>
          <w:b/>
          <w:szCs w:val="24"/>
        </w:rPr>
        <w:t xml:space="preserve">/75/2014. </w:t>
      </w:r>
    </w:p>
    <w:p w:rsidR="00313D07" w:rsidRDefault="00C20177">
      <w:pPr>
        <w:ind w:left="851"/>
        <w:rPr>
          <w:szCs w:val="24"/>
        </w:rPr>
      </w:pPr>
      <w:r>
        <w:rPr>
          <w:szCs w:val="24"/>
        </w:rPr>
        <w:t xml:space="preserve">Budapest, </w:t>
      </w:r>
      <w:r w:rsidR="00861E7B" w:rsidRPr="00861E7B">
        <w:rPr>
          <w:szCs w:val="24"/>
        </w:rPr>
        <w:t>2017. január 10</w:t>
      </w:r>
      <w:r w:rsidR="00100F05" w:rsidRPr="00861E7B">
        <w:rPr>
          <w:szCs w:val="24"/>
        </w:rPr>
        <w:t>.</w:t>
      </w:r>
      <w:r w:rsidR="000A45D5">
        <w:rPr>
          <w:szCs w:val="24"/>
        </w:rPr>
        <w:t xml:space="preserve"> </w:t>
      </w:r>
    </w:p>
    <w:p w:rsidR="00313D07" w:rsidRDefault="00C20177">
      <w:pPr>
        <w:pStyle w:val="Szvegtrzs2"/>
        <w:spacing w:after="200" w:line="276" w:lineRule="auto"/>
        <w:ind w:left="851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Gazdasági Versenyhivatal</w:t>
      </w:r>
    </w:p>
    <w:tbl>
      <w:tblPr>
        <w:tblStyle w:val="Rcsostblza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389"/>
      </w:tblGrid>
      <w:tr w:rsidR="00313D07">
        <w:tc>
          <w:tcPr>
            <w:tcW w:w="4747" w:type="dxa"/>
          </w:tcPr>
          <w:p w:rsidR="00313D07" w:rsidRDefault="00C20177">
            <w:pPr>
              <w:tabs>
                <w:tab w:val="left" w:pos="142"/>
              </w:tabs>
              <w:spacing w:after="0"/>
              <w:ind w:left="142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Információ a sajtó részére:</w:t>
            </w:r>
          </w:p>
          <w:p w:rsidR="00313D07" w:rsidRDefault="00C20177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dr. Basa Andrea, sajtószóvivő</w:t>
            </w:r>
          </w:p>
          <w:p w:rsidR="00313D07" w:rsidRDefault="00C20177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cím: 1054 Budapest, Alkotmány u. 5.</w:t>
            </w:r>
          </w:p>
          <w:p w:rsidR="00313D07" w:rsidRDefault="00C20177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tel</w:t>
            </w:r>
            <w:proofErr w:type="gramStart"/>
            <w:r>
              <w:rPr>
                <w:bCs/>
                <w:szCs w:val="24"/>
              </w:rPr>
              <w:t>.:</w:t>
            </w:r>
            <w:proofErr w:type="gramEnd"/>
            <w:r>
              <w:rPr>
                <w:bCs/>
                <w:szCs w:val="24"/>
              </w:rPr>
              <w:t xml:space="preserve"> (+36-1) 472-8902</w:t>
            </w:r>
          </w:p>
          <w:p w:rsidR="00313D07" w:rsidRDefault="00C20177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fax: (+36-1) 472-8898</w:t>
            </w:r>
          </w:p>
          <w:p w:rsidR="00313D07" w:rsidRDefault="00C20177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mobil: +3630 618-6618</w:t>
            </w:r>
          </w:p>
          <w:p w:rsidR="00313D07" w:rsidRDefault="00C20177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e-mail: </w:t>
            </w:r>
            <w:hyperlink r:id="rId12" w:history="1">
              <w:r>
                <w:rPr>
                  <w:bCs/>
                  <w:color w:val="0000FF"/>
                  <w:szCs w:val="24"/>
                  <w:u w:val="single"/>
                </w:rPr>
                <w:t>basa.andrea@gvh.hu</w:t>
              </w:r>
            </w:hyperlink>
          </w:p>
          <w:p w:rsidR="00313D07" w:rsidRDefault="00852D39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3" w:history="1">
              <w:r w:rsidR="00C20177">
                <w:rPr>
                  <w:bCs/>
                  <w:color w:val="0000FF"/>
                  <w:szCs w:val="24"/>
                  <w:u w:val="single"/>
                </w:rPr>
                <w:t>sajto@gvh.hu</w:t>
              </w:r>
            </w:hyperlink>
            <w:r w:rsidR="00C20177">
              <w:rPr>
                <w:bCs/>
                <w:szCs w:val="24"/>
              </w:rPr>
              <w:t xml:space="preserve"> </w:t>
            </w:r>
          </w:p>
          <w:p w:rsidR="00313D07" w:rsidRDefault="00852D39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4" w:history="1">
              <w:r w:rsidR="00C20177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="00C20177">
              <w:rPr>
                <w:bCs/>
                <w:szCs w:val="24"/>
              </w:rPr>
              <w:t xml:space="preserve"> </w:t>
            </w:r>
          </w:p>
        </w:tc>
        <w:tc>
          <w:tcPr>
            <w:tcW w:w="4747" w:type="dxa"/>
          </w:tcPr>
          <w:p w:rsidR="00313D07" w:rsidRDefault="00C20177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További információk:</w:t>
            </w:r>
            <w:r>
              <w:rPr>
                <w:b/>
                <w:bCs/>
                <w:szCs w:val="24"/>
              </w:rPr>
              <w:br/>
            </w:r>
            <w:r>
              <w:rPr>
                <w:bCs/>
                <w:szCs w:val="24"/>
              </w:rPr>
              <w:t>GVH Ügyfélszolgálata</w:t>
            </w:r>
            <w:r>
              <w:rPr>
                <w:bCs/>
                <w:szCs w:val="24"/>
              </w:rPr>
              <w:br/>
              <w:t>tel: (+36-1) 472-8851</w:t>
            </w:r>
            <w:r>
              <w:rPr>
                <w:bCs/>
                <w:szCs w:val="24"/>
              </w:rPr>
              <w:br/>
              <w:t xml:space="preserve">e-mail: </w:t>
            </w:r>
            <w:hyperlink r:id="rId15" w:history="1">
              <w:r>
                <w:rPr>
                  <w:bCs/>
                  <w:szCs w:val="24"/>
                </w:rPr>
                <w:t>ugyfelszolgalat@gvh.hu</w:t>
              </w:r>
            </w:hyperlink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hyperlink r:id="rId16" w:history="1">
              <w:r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>
              <w:rPr>
                <w:bCs/>
                <w:szCs w:val="24"/>
              </w:rPr>
              <w:t xml:space="preserve"> </w:t>
            </w:r>
          </w:p>
          <w:p w:rsidR="00313D07" w:rsidRDefault="00313D07">
            <w:pPr>
              <w:tabs>
                <w:tab w:val="left" w:pos="142"/>
              </w:tabs>
              <w:ind w:left="142"/>
              <w:jc w:val="right"/>
              <w:rPr>
                <w:szCs w:val="24"/>
              </w:rPr>
            </w:pPr>
          </w:p>
        </w:tc>
      </w:tr>
    </w:tbl>
    <w:p w:rsidR="00313D07" w:rsidRDefault="00313D07">
      <w:pPr>
        <w:pStyle w:val="Szvegtrzs2"/>
        <w:spacing w:before="120" w:line="240" w:lineRule="auto"/>
        <w:ind w:left="851" w:right="-2"/>
        <w:jc w:val="right"/>
        <w:rPr>
          <w:bCs/>
          <w:sz w:val="24"/>
          <w:szCs w:val="24"/>
        </w:rPr>
      </w:pPr>
    </w:p>
    <w:sectPr w:rsidR="00313D07" w:rsidSect="009C726C">
      <w:footerReference w:type="default" r:id="rId17"/>
      <w:headerReference w:type="first" r:id="rId18"/>
      <w:footerReference w:type="first" r:id="rId19"/>
      <w:pgSz w:w="11906" w:h="16838"/>
      <w:pgMar w:top="1525" w:right="1418" w:bottom="851" w:left="1134" w:header="568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7EFE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39" w:rsidRDefault="00852D39">
      <w:pPr>
        <w:spacing w:after="0" w:line="240" w:lineRule="auto"/>
      </w:pPr>
      <w:r>
        <w:separator/>
      </w:r>
    </w:p>
  </w:endnote>
  <w:endnote w:type="continuationSeparator" w:id="0">
    <w:p w:rsidR="00852D39" w:rsidRDefault="0085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07" w:rsidRDefault="00C20177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118B26CC" wp14:editId="225C2CEA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61E7B">
      <w:rPr>
        <w:noProof/>
      </w:rPr>
      <w:t>2</w:t>
    </w:r>
    <w:r>
      <w:fldChar w:fldCharType="end"/>
    </w:r>
    <w: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07" w:rsidRDefault="00C20177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78AAB210" wp14:editId="477E0107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39" w:rsidRDefault="00852D39">
      <w:pPr>
        <w:spacing w:after="0" w:line="240" w:lineRule="auto"/>
      </w:pPr>
      <w:r>
        <w:separator/>
      </w:r>
    </w:p>
  </w:footnote>
  <w:footnote w:type="continuationSeparator" w:id="0">
    <w:p w:rsidR="00852D39" w:rsidRDefault="0085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07" w:rsidRDefault="00100F05">
    <w:pPr>
      <w:pStyle w:val="lfej"/>
      <w:tabs>
        <w:tab w:val="clear" w:pos="4536"/>
        <w:tab w:val="clear" w:pos="9072"/>
        <w:tab w:val="left" w:pos="6855"/>
      </w:tabs>
      <w:jc w:val="both"/>
    </w:pPr>
    <w:r>
      <w:rPr>
        <w:noProof/>
        <w:lang w:eastAsia="hu-HU"/>
      </w:rPr>
      <w:drawing>
        <wp:anchor distT="0" distB="0" distL="114300" distR="114300" simplePos="0" relativeHeight="251659776" behindDoc="0" locked="0" layoutInCell="1" allowOverlap="1" wp14:anchorId="7E484AC9" wp14:editId="3669FCBA">
          <wp:simplePos x="0" y="0"/>
          <wp:positionH relativeFrom="page">
            <wp:posOffset>749935</wp:posOffset>
          </wp:positionH>
          <wp:positionV relativeFrom="page">
            <wp:posOffset>397510</wp:posOffset>
          </wp:positionV>
          <wp:extent cx="6120130" cy="424815"/>
          <wp:effectExtent l="0" t="0" r="0" b="0"/>
          <wp:wrapNone/>
          <wp:docPr id="2" name="Kép 12" descr="C:\Users\Probook4320\AppData\Local\Microsoft\Windows\Temporary Internet Files\Content.Word\lev_fej_HU_1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Users\Probook4320\AppData\Local\Microsoft\Windows\Temporary Internet Files\Content.Word\lev_fej_HU_1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0F05" w:rsidRDefault="00100F05">
    <w:pPr>
      <w:pStyle w:val="lfej"/>
      <w:tabs>
        <w:tab w:val="clear" w:pos="4536"/>
        <w:tab w:val="clear" w:pos="9072"/>
        <w:tab w:val="left" w:pos="6855"/>
      </w:tabs>
      <w:jc w:val="both"/>
    </w:pPr>
  </w:p>
  <w:p w:rsidR="009C726C" w:rsidRDefault="009C726C">
    <w:pPr>
      <w:pStyle w:val="lfej"/>
      <w:tabs>
        <w:tab w:val="clear" w:pos="4536"/>
        <w:tab w:val="clear" w:pos="9072"/>
        <w:tab w:val="left" w:pos="6855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DD9"/>
    <w:multiLevelType w:val="hybridMultilevel"/>
    <w:tmpl w:val="011CFE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9259E"/>
    <w:multiLevelType w:val="hybridMultilevel"/>
    <w:tmpl w:val="A2C02A80"/>
    <w:lvl w:ilvl="0" w:tplc="D406807A">
      <w:numFmt w:val="bullet"/>
      <w:lvlText w:val="•"/>
      <w:lvlJc w:val="left"/>
      <w:pPr>
        <w:ind w:left="1971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07"/>
    <w:rsid w:val="0002140D"/>
    <w:rsid w:val="00047CF6"/>
    <w:rsid w:val="0007173E"/>
    <w:rsid w:val="000A45D5"/>
    <w:rsid w:val="000B00D2"/>
    <w:rsid w:val="000E03CE"/>
    <w:rsid w:val="00100F05"/>
    <w:rsid w:val="00140936"/>
    <w:rsid w:val="00176DA5"/>
    <w:rsid w:val="001D47D5"/>
    <w:rsid w:val="002C1119"/>
    <w:rsid w:val="00313D07"/>
    <w:rsid w:val="00324716"/>
    <w:rsid w:val="003601F0"/>
    <w:rsid w:val="0039722E"/>
    <w:rsid w:val="003A1AA4"/>
    <w:rsid w:val="0045665E"/>
    <w:rsid w:val="0047041A"/>
    <w:rsid w:val="004B4435"/>
    <w:rsid w:val="0055115A"/>
    <w:rsid w:val="00575AE4"/>
    <w:rsid w:val="005F1204"/>
    <w:rsid w:val="00600CC6"/>
    <w:rsid w:val="0060152B"/>
    <w:rsid w:val="00601A0D"/>
    <w:rsid w:val="00607BCE"/>
    <w:rsid w:val="007338E0"/>
    <w:rsid w:val="00735D72"/>
    <w:rsid w:val="00775D08"/>
    <w:rsid w:val="007913F6"/>
    <w:rsid w:val="00794CFF"/>
    <w:rsid w:val="007C4152"/>
    <w:rsid w:val="00822CAB"/>
    <w:rsid w:val="0083146F"/>
    <w:rsid w:val="00852D39"/>
    <w:rsid w:val="008602D6"/>
    <w:rsid w:val="00861E7B"/>
    <w:rsid w:val="008C7BCE"/>
    <w:rsid w:val="00910B31"/>
    <w:rsid w:val="00910BE9"/>
    <w:rsid w:val="009841E0"/>
    <w:rsid w:val="00986572"/>
    <w:rsid w:val="009A30F3"/>
    <w:rsid w:val="009C726C"/>
    <w:rsid w:val="00A104AE"/>
    <w:rsid w:val="00A1795A"/>
    <w:rsid w:val="00A913A0"/>
    <w:rsid w:val="00AD6AAC"/>
    <w:rsid w:val="00AF0146"/>
    <w:rsid w:val="00B471E0"/>
    <w:rsid w:val="00B52A19"/>
    <w:rsid w:val="00BB5A31"/>
    <w:rsid w:val="00C20177"/>
    <w:rsid w:val="00C20199"/>
    <w:rsid w:val="00C2052C"/>
    <w:rsid w:val="00C94A88"/>
    <w:rsid w:val="00CD4525"/>
    <w:rsid w:val="00CD723B"/>
    <w:rsid w:val="00D109AA"/>
    <w:rsid w:val="00D61842"/>
    <w:rsid w:val="00E31192"/>
    <w:rsid w:val="00E4624B"/>
    <w:rsid w:val="00EA424A"/>
    <w:rsid w:val="00EF3C6F"/>
    <w:rsid w:val="00F548F5"/>
    <w:rsid w:val="00F72BB4"/>
    <w:rsid w:val="00F73E81"/>
    <w:rsid w:val="00F91879"/>
    <w:rsid w:val="00FA6C38"/>
    <w:rsid w:val="00FD1E06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Pr>
      <w:lang w:eastAsia="en-US"/>
    </w:rPr>
  </w:style>
  <w:style w:type="character" w:styleId="Lbjegyzet-hivatkozs">
    <w:name w:val="footnote reference"/>
    <w:aliases w:val="Footnote symbol,Footnote Reference Number,Fußnote"/>
    <w:rPr>
      <w:rFonts w:ascii="Arial" w:hAnsi="Arial"/>
      <w:vertAlign w:val="superscript"/>
    </w:rPr>
  </w:style>
  <w:style w:type="character" w:customStyle="1" w:styleId="Cmsor2Char">
    <w:name w:val="Címsor 2 Char"/>
    <w:link w:val="Cmsor2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Pr>
      <w:rFonts w:ascii="Arial" w:hAnsi="Arial"/>
      <w:color w:val="0000FF"/>
      <w:u w:val="single"/>
    </w:rPr>
  </w:style>
  <w:style w:type="character" w:styleId="Kiemels2">
    <w:name w:val="Strong"/>
    <w:qFormat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Pr>
      <w:sz w:val="22"/>
      <w:szCs w:val="22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Pr>
      <w:rFonts w:ascii="Times New Roman" w:hAnsi="Times New Roman"/>
      <w:sz w:val="24"/>
      <w:szCs w:val="22"/>
      <w:lang w:eastAsia="en-US"/>
    </w:rPr>
  </w:style>
  <w:style w:type="paragraph" w:styleId="Vltozat">
    <w:name w:val="Revision"/>
    <w:hidden/>
    <w:uiPriority w:val="99"/>
    <w:semiHidden/>
    <w:rPr>
      <w:rFonts w:ascii="Times New Roman" w:hAnsi="Times New Roman"/>
      <w:sz w:val="24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Pr>
      <w:lang w:eastAsia="en-US"/>
    </w:rPr>
  </w:style>
  <w:style w:type="character" w:styleId="Lbjegyzet-hivatkozs">
    <w:name w:val="footnote reference"/>
    <w:aliases w:val="Footnote symbol,Footnote Reference Number,Fußnote"/>
    <w:rPr>
      <w:rFonts w:ascii="Arial" w:hAnsi="Arial"/>
      <w:vertAlign w:val="superscript"/>
    </w:rPr>
  </w:style>
  <w:style w:type="character" w:customStyle="1" w:styleId="Cmsor2Char">
    <w:name w:val="Címsor 2 Char"/>
    <w:link w:val="Cmsor2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Pr>
      <w:rFonts w:ascii="Arial" w:hAnsi="Arial"/>
      <w:color w:val="0000FF"/>
      <w:u w:val="single"/>
    </w:rPr>
  </w:style>
  <w:style w:type="character" w:styleId="Kiemels2">
    <w:name w:val="Strong"/>
    <w:qFormat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Pr>
      <w:sz w:val="22"/>
      <w:szCs w:val="22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Pr>
      <w:rFonts w:ascii="Times New Roman" w:hAnsi="Times New Roman"/>
      <w:sz w:val="24"/>
      <w:szCs w:val="22"/>
      <w:lang w:eastAsia="en-US"/>
    </w:rPr>
  </w:style>
  <w:style w:type="paragraph" w:styleId="Vltozat">
    <w:name w:val="Revision"/>
    <w:hidden/>
    <w:uiPriority w:val="99"/>
    <w:semiHidden/>
    <w:rPr>
      <w:rFonts w:ascii="Times New Roman" w:hAnsi="Times New Roman"/>
      <w:sz w:val="24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jto@gvh.h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asa.andrea@gvh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vh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vh.hu/data/cms1032888/Tajekoztatok_vallalkozasok_egyuttmukodese_2015_12_04.pdf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ugyfelszolgalat@gvh.hu" TargetMode="External"/><Relationship Id="rId23" Type="http://schemas.microsoft.com/office/2011/relationships/people" Target="people.xml"/><Relationship Id="rId10" Type="http://schemas.openxmlformats.org/officeDocument/2006/relationships/hyperlink" Target="http://www.gvh.hu/sajtoszoba/sajtokozlemenyek/2015-os_sajtokozlemenyek/a_gvh_kozreadta_a_10_szazalekos_birsagcsokkentes_r.html?query=egyezs%C3%A9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gvh.hu/szakmai_felhasznaloknak/engedekenysegi_politika" TargetMode="External"/><Relationship Id="rId14" Type="http://schemas.openxmlformats.org/officeDocument/2006/relationships/hyperlink" Target="http://www.gvh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75FA-F07A-4469-8544-D21E8E28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4776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2016-12-20T08:18:00Z</cp:lastPrinted>
  <dcterms:created xsi:type="dcterms:W3CDTF">2017-01-10T08:09:00Z</dcterms:created>
  <dcterms:modified xsi:type="dcterms:W3CDTF">2017-01-10T08:09:00Z</dcterms:modified>
</cp:coreProperties>
</file>