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F8" w:rsidRDefault="005E09F8" w:rsidP="005E09F8">
      <w:pPr>
        <w:spacing w:after="0" w:line="240" w:lineRule="auto"/>
        <w:jc w:val="center"/>
        <w:rPr>
          <w:b/>
          <w:sz w:val="28"/>
          <w:szCs w:val="28"/>
        </w:rPr>
      </w:pPr>
      <w:r w:rsidRPr="005E09F8">
        <w:rPr>
          <w:b/>
          <w:sz w:val="28"/>
          <w:szCs w:val="28"/>
        </w:rPr>
        <w:t>41 települést érintő beavatkozással</w:t>
      </w:r>
      <w:r w:rsidR="00F61475">
        <w:rPr>
          <w:b/>
          <w:sz w:val="28"/>
          <w:szCs w:val="28"/>
        </w:rPr>
        <w:t xml:space="preserve"> és</w:t>
      </w:r>
      <w:r w:rsidRPr="005E09F8">
        <w:rPr>
          <w:b/>
          <w:sz w:val="28"/>
          <w:szCs w:val="28"/>
        </w:rPr>
        <w:t xml:space="preserve"> ellenőrző biztos kijelölésével kapott zöld utat a </w:t>
      </w:r>
      <w:proofErr w:type="spellStart"/>
      <w:r>
        <w:rPr>
          <w:b/>
          <w:sz w:val="28"/>
          <w:szCs w:val="28"/>
        </w:rPr>
        <w:t>DIGI-Invitel</w:t>
      </w:r>
      <w:proofErr w:type="spellEnd"/>
      <w:r>
        <w:rPr>
          <w:b/>
          <w:sz w:val="28"/>
          <w:szCs w:val="28"/>
        </w:rPr>
        <w:t xml:space="preserve"> fúzió</w:t>
      </w:r>
    </w:p>
    <w:p w:rsidR="0082607C" w:rsidRPr="005E09F8" w:rsidRDefault="0082607C" w:rsidP="005E09F8">
      <w:pPr>
        <w:spacing w:after="0" w:line="240" w:lineRule="auto"/>
        <w:jc w:val="center"/>
        <w:rPr>
          <w:b/>
          <w:sz w:val="28"/>
          <w:szCs w:val="28"/>
        </w:rPr>
      </w:pPr>
    </w:p>
    <w:p w:rsidR="005E09F8" w:rsidRDefault="005E09F8" w:rsidP="005E09F8">
      <w:pPr>
        <w:spacing w:after="0" w:line="240" w:lineRule="auto"/>
        <w:rPr>
          <w:b/>
          <w:szCs w:val="24"/>
        </w:rPr>
      </w:pPr>
    </w:p>
    <w:p w:rsidR="005E09F8" w:rsidRPr="00735498" w:rsidRDefault="005E09F8" w:rsidP="00735498">
      <w:pPr>
        <w:tabs>
          <w:tab w:val="left" w:pos="851"/>
        </w:tabs>
        <w:ind w:left="851"/>
        <w:rPr>
          <w:b/>
          <w:bCs/>
          <w:szCs w:val="24"/>
        </w:rPr>
      </w:pPr>
      <w:r w:rsidRPr="00735498">
        <w:rPr>
          <w:b/>
          <w:bCs/>
          <w:szCs w:val="24"/>
        </w:rPr>
        <w:t xml:space="preserve">Feltételek és kötelezettségek előírása mellett járult hozzá a </w:t>
      </w:r>
      <w:r w:rsidRPr="005E7CAE">
        <w:rPr>
          <w:b/>
          <w:bCs/>
          <w:szCs w:val="24"/>
        </w:rPr>
        <w:t>Gazdasági Versenyhivatal (GVH)</w:t>
      </w:r>
      <w:r w:rsidRPr="00735498">
        <w:rPr>
          <w:b/>
          <w:bCs/>
          <w:szCs w:val="24"/>
        </w:rPr>
        <w:t xml:space="preserve">, hogy a </w:t>
      </w:r>
      <w:r w:rsidRPr="005E7CAE">
        <w:rPr>
          <w:b/>
          <w:bCs/>
          <w:szCs w:val="24"/>
        </w:rPr>
        <w:t xml:space="preserve">DIGI Távközlési és Szolgáltató Kft. megszerezze az Invitel Távközlési </w:t>
      </w:r>
      <w:proofErr w:type="spellStart"/>
      <w:r w:rsidRPr="005E7CAE">
        <w:rPr>
          <w:b/>
          <w:bCs/>
          <w:szCs w:val="24"/>
        </w:rPr>
        <w:t>Zrt.-t</w:t>
      </w:r>
      <w:proofErr w:type="spellEnd"/>
      <w:r w:rsidRPr="005E7CAE">
        <w:rPr>
          <w:b/>
          <w:bCs/>
          <w:szCs w:val="24"/>
        </w:rPr>
        <w:t xml:space="preserve">. </w:t>
      </w:r>
      <w:r w:rsidRPr="00735498">
        <w:rPr>
          <w:b/>
          <w:bCs/>
          <w:szCs w:val="24"/>
        </w:rPr>
        <w:t xml:space="preserve">Az eljárásban első alkalommal </w:t>
      </w:r>
      <w:r w:rsidR="00F61475">
        <w:rPr>
          <w:b/>
          <w:bCs/>
          <w:szCs w:val="24"/>
        </w:rPr>
        <w:t>zajlott</w:t>
      </w:r>
      <w:r w:rsidRPr="00735498">
        <w:rPr>
          <w:b/>
          <w:bCs/>
          <w:szCs w:val="24"/>
        </w:rPr>
        <w:t xml:space="preserve"> előzetes értesítés nélküli helyszíni kutatás </w:t>
      </w:r>
      <w:r w:rsidR="00F61475">
        <w:rPr>
          <w:b/>
          <w:bCs/>
          <w:szCs w:val="24"/>
        </w:rPr>
        <w:t xml:space="preserve">egy </w:t>
      </w:r>
      <w:r w:rsidRPr="00735498">
        <w:rPr>
          <w:b/>
          <w:bCs/>
          <w:szCs w:val="24"/>
        </w:rPr>
        <w:t xml:space="preserve">fúziós ügyben. </w:t>
      </w:r>
    </w:p>
    <w:p w:rsidR="005E09F8" w:rsidRDefault="005E09F8" w:rsidP="005E09F8">
      <w:pPr>
        <w:spacing w:after="0" w:line="240" w:lineRule="auto"/>
        <w:rPr>
          <w:b/>
        </w:rPr>
      </w:pPr>
    </w:p>
    <w:p w:rsidR="005E09F8" w:rsidRPr="008227CC" w:rsidRDefault="005E09F8" w:rsidP="00735498">
      <w:pPr>
        <w:tabs>
          <w:tab w:val="left" w:pos="851"/>
        </w:tabs>
        <w:ind w:left="851"/>
        <w:rPr>
          <w:bCs/>
          <w:szCs w:val="24"/>
        </w:rPr>
      </w:pPr>
      <w:r w:rsidRPr="008227CC">
        <w:rPr>
          <w:bCs/>
          <w:szCs w:val="24"/>
        </w:rPr>
        <w:t xml:space="preserve">A DIGI Távközlési és Szolgáltató Kft. (DIGI) 2017. augusztus végén jelentette be a </w:t>
      </w:r>
      <w:r>
        <w:rPr>
          <w:bCs/>
          <w:szCs w:val="24"/>
        </w:rPr>
        <w:t>GVH-nak</w:t>
      </w:r>
      <w:r w:rsidRPr="008227CC">
        <w:rPr>
          <w:bCs/>
          <w:szCs w:val="24"/>
        </w:rPr>
        <w:t xml:space="preserve">, hogy meg kívánja vásárolni az Invitel Távközlési </w:t>
      </w:r>
      <w:proofErr w:type="spellStart"/>
      <w:r w:rsidRPr="008227CC">
        <w:rPr>
          <w:bCs/>
          <w:szCs w:val="24"/>
        </w:rPr>
        <w:t>Zrt.-t</w:t>
      </w:r>
      <w:proofErr w:type="spellEnd"/>
      <w:r w:rsidRPr="008227CC">
        <w:rPr>
          <w:bCs/>
          <w:szCs w:val="24"/>
        </w:rPr>
        <w:t xml:space="preserve"> (Invitel).</w:t>
      </w:r>
      <w:r>
        <w:rPr>
          <w:bCs/>
          <w:szCs w:val="24"/>
        </w:rPr>
        <w:t xml:space="preserve"> </w:t>
      </w:r>
      <w:r w:rsidRPr="008227CC">
        <w:rPr>
          <w:bCs/>
          <w:szCs w:val="24"/>
        </w:rPr>
        <w:t xml:space="preserve">A GVH azért indított versenyfelügyeleti eljárást a DIGI/Invitel összefonódás bejelentése alapján, mert </w:t>
      </w:r>
      <w:r w:rsidR="00F61475" w:rsidRPr="008227CC">
        <w:rPr>
          <w:bCs/>
          <w:szCs w:val="24"/>
        </w:rPr>
        <w:t>fel</w:t>
      </w:r>
      <w:r w:rsidR="00F61475">
        <w:rPr>
          <w:bCs/>
          <w:szCs w:val="24"/>
        </w:rPr>
        <w:t>vetődött</w:t>
      </w:r>
      <w:r w:rsidRPr="008227CC">
        <w:rPr>
          <w:bCs/>
          <w:szCs w:val="24"/>
        </w:rPr>
        <w:t>, hogy a tranzakció káros versenyhatásokkal járhat</w:t>
      </w:r>
      <w:r w:rsidR="00F61475" w:rsidRPr="00F61475">
        <w:rPr>
          <w:bCs/>
          <w:szCs w:val="24"/>
        </w:rPr>
        <w:t xml:space="preserve"> </w:t>
      </w:r>
      <w:r w:rsidR="00F61475" w:rsidRPr="008227CC">
        <w:rPr>
          <w:bCs/>
          <w:szCs w:val="24"/>
        </w:rPr>
        <w:t>egyes érintett piacokon</w:t>
      </w:r>
      <w:r w:rsidRPr="008227CC">
        <w:rPr>
          <w:bCs/>
          <w:szCs w:val="24"/>
        </w:rPr>
        <w:t xml:space="preserve">. Mindkét érintett vállalkozás a </w:t>
      </w:r>
      <w:r>
        <w:rPr>
          <w:bCs/>
          <w:szCs w:val="24"/>
        </w:rPr>
        <w:t xml:space="preserve">hazai </w:t>
      </w:r>
      <w:r w:rsidRPr="008227CC">
        <w:rPr>
          <w:bCs/>
          <w:szCs w:val="24"/>
        </w:rPr>
        <w:t xml:space="preserve">vezetékes távközlési </w:t>
      </w:r>
      <w:proofErr w:type="gramStart"/>
      <w:r w:rsidRPr="008227CC">
        <w:rPr>
          <w:bCs/>
          <w:szCs w:val="24"/>
        </w:rPr>
        <w:t>piac jelentős</w:t>
      </w:r>
      <w:proofErr w:type="gramEnd"/>
      <w:r w:rsidRPr="008227CC">
        <w:rPr>
          <w:bCs/>
          <w:szCs w:val="24"/>
        </w:rPr>
        <w:t>, országosan aktív szereplője</w:t>
      </w:r>
      <w:r w:rsidR="00F61475">
        <w:rPr>
          <w:bCs/>
          <w:szCs w:val="24"/>
        </w:rPr>
        <w:t>, azaz,</w:t>
      </w:r>
      <w:r w:rsidRPr="008227CC">
        <w:rPr>
          <w:bCs/>
          <w:szCs w:val="24"/>
        </w:rPr>
        <w:t xml:space="preserve"> </w:t>
      </w:r>
      <w:r>
        <w:rPr>
          <w:bCs/>
          <w:szCs w:val="24"/>
        </w:rPr>
        <w:t>több</w:t>
      </w:r>
      <w:r w:rsidR="009D66ED">
        <w:rPr>
          <w:bCs/>
          <w:szCs w:val="24"/>
        </w:rPr>
        <w:t xml:space="preserve"> </w:t>
      </w:r>
      <w:r w:rsidRPr="008227CC">
        <w:rPr>
          <w:bCs/>
          <w:szCs w:val="24"/>
        </w:rPr>
        <w:t>százezer előfizetőnek nyújt vezetékes telefon</w:t>
      </w:r>
      <w:r w:rsidR="00F61475">
        <w:rPr>
          <w:bCs/>
          <w:szCs w:val="24"/>
        </w:rPr>
        <w:t>-</w:t>
      </w:r>
      <w:r>
        <w:rPr>
          <w:bCs/>
          <w:szCs w:val="24"/>
        </w:rPr>
        <w:t xml:space="preserve">, </w:t>
      </w:r>
      <w:r w:rsidR="003D142D">
        <w:rPr>
          <w:bCs/>
          <w:szCs w:val="24"/>
        </w:rPr>
        <w:t>i</w:t>
      </w:r>
      <w:r w:rsidRPr="008227CC">
        <w:rPr>
          <w:bCs/>
          <w:szCs w:val="24"/>
        </w:rPr>
        <w:t>nternet</w:t>
      </w:r>
      <w:r w:rsidR="00F61475">
        <w:rPr>
          <w:bCs/>
          <w:szCs w:val="24"/>
        </w:rPr>
        <w:t>-</w:t>
      </w:r>
      <w:r>
        <w:rPr>
          <w:bCs/>
          <w:szCs w:val="24"/>
        </w:rPr>
        <w:t xml:space="preserve">, </w:t>
      </w:r>
      <w:r w:rsidRPr="00735498">
        <w:rPr>
          <w:bCs/>
          <w:szCs w:val="24"/>
        </w:rPr>
        <w:t>vezetékes műsorterjesztési (</w:t>
      </w:r>
      <w:r w:rsidRPr="008227CC">
        <w:rPr>
          <w:bCs/>
          <w:szCs w:val="24"/>
        </w:rPr>
        <w:t>TV</w:t>
      </w:r>
      <w:r>
        <w:rPr>
          <w:bCs/>
          <w:szCs w:val="24"/>
        </w:rPr>
        <w:t>) és egyéb szolgáltatásokat.</w:t>
      </w:r>
    </w:p>
    <w:p w:rsidR="005E09F8" w:rsidRPr="00735498" w:rsidRDefault="005E09F8" w:rsidP="00735498">
      <w:pPr>
        <w:tabs>
          <w:tab w:val="left" w:pos="851"/>
        </w:tabs>
        <w:ind w:left="851"/>
        <w:rPr>
          <w:bCs/>
          <w:szCs w:val="24"/>
        </w:rPr>
      </w:pPr>
      <w:r w:rsidRPr="00735498">
        <w:rPr>
          <w:bCs/>
          <w:szCs w:val="24"/>
        </w:rPr>
        <w:t>A GVH részletes vizsgálat keretében értékelte a tranzakció lehetséges versenyhatásait</w:t>
      </w:r>
      <w:r w:rsidR="00F61475">
        <w:rPr>
          <w:bCs/>
          <w:szCs w:val="24"/>
        </w:rPr>
        <w:t>. A</w:t>
      </w:r>
      <w:r w:rsidRPr="00735498">
        <w:rPr>
          <w:bCs/>
          <w:szCs w:val="24"/>
        </w:rPr>
        <w:t xml:space="preserve"> szokásos</w:t>
      </w:r>
      <w:r w:rsidR="00F61475">
        <w:rPr>
          <w:bCs/>
          <w:szCs w:val="24"/>
        </w:rPr>
        <w:t>nak tekinthető</w:t>
      </w:r>
      <w:r w:rsidRPr="00735498">
        <w:rPr>
          <w:bCs/>
          <w:szCs w:val="24"/>
        </w:rPr>
        <w:t xml:space="preserve"> lépése</w:t>
      </w:r>
      <w:r w:rsidR="00F61475">
        <w:rPr>
          <w:bCs/>
          <w:szCs w:val="24"/>
        </w:rPr>
        <w:t>k</w:t>
      </w:r>
      <w:r w:rsidRPr="00735498">
        <w:rPr>
          <w:bCs/>
          <w:szCs w:val="24"/>
        </w:rPr>
        <w:t xml:space="preserve"> </w:t>
      </w:r>
      <w:r w:rsidR="00F61475" w:rsidRPr="00735498">
        <w:rPr>
          <w:bCs/>
          <w:szCs w:val="24"/>
        </w:rPr>
        <w:t xml:space="preserve">mellett </w:t>
      </w:r>
      <w:r w:rsidRPr="00735498">
        <w:rPr>
          <w:bCs/>
          <w:szCs w:val="24"/>
        </w:rPr>
        <w:t xml:space="preserve">(adatkérések </w:t>
      </w:r>
      <w:r w:rsidR="00F61475">
        <w:rPr>
          <w:bCs/>
          <w:szCs w:val="24"/>
        </w:rPr>
        <w:t xml:space="preserve">a </w:t>
      </w:r>
      <w:r w:rsidRPr="00735498">
        <w:rPr>
          <w:bCs/>
          <w:szCs w:val="24"/>
        </w:rPr>
        <w:t xml:space="preserve">felektől, piaci szereplőktől, </w:t>
      </w:r>
      <w:proofErr w:type="gramStart"/>
      <w:r w:rsidRPr="00735498">
        <w:rPr>
          <w:bCs/>
          <w:szCs w:val="24"/>
        </w:rPr>
        <w:t>társhatóságok</w:t>
      </w:r>
      <w:proofErr w:type="gramEnd"/>
      <w:r w:rsidRPr="00735498">
        <w:rPr>
          <w:bCs/>
          <w:szCs w:val="24"/>
        </w:rPr>
        <w:t xml:space="preserve"> megkeresése, elemzések) fúziós eljárásban első alkalommal élt az előzetes értesítés nélküli helyszíni kutatás lehetőségével, amelyet a </w:t>
      </w:r>
      <w:r w:rsidR="004F0207">
        <w:rPr>
          <w:bCs/>
          <w:szCs w:val="24"/>
        </w:rPr>
        <w:t>V</w:t>
      </w:r>
      <w:r w:rsidRPr="00735498">
        <w:rPr>
          <w:bCs/>
          <w:szCs w:val="24"/>
        </w:rPr>
        <w:t xml:space="preserve">ersenytörvény 2017. január 15-től biztosít. </w:t>
      </w:r>
    </w:p>
    <w:p w:rsidR="005E09F8" w:rsidRPr="00735498" w:rsidRDefault="005E09F8" w:rsidP="00735498">
      <w:pPr>
        <w:tabs>
          <w:tab w:val="left" w:pos="851"/>
        </w:tabs>
        <w:ind w:left="851"/>
        <w:rPr>
          <w:bCs/>
          <w:szCs w:val="24"/>
        </w:rPr>
      </w:pPr>
      <w:r w:rsidRPr="00735498">
        <w:rPr>
          <w:bCs/>
          <w:szCs w:val="24"/>
        </w:rPr>
        <w:t>Az érintett</w:t>
      </w:r>
      <w:r w:rsidR="00F61475">
        <w:rPr>
          <w:bCs/>
          <w:szCs w:val="24"/>
        </w:rPr>
        <w:t>ek</w:t>
      </w:r>
      <w:r w:rsidRPr="00735498">
        <w:rPr>
          <w:bCs/>
          <w:szCs w:val="24"/>
        </w:rPr>
        <w:t xml:space="preserve"> saját vezetékes távközlési hálózatai 34 településen fednek át, ezek közül a GVH vizsgálata 16 település </w:t>
      </w:r>
      <w:r w:rsidR="00F61475">
        <w:rPr>
          <w:bCs/>
          <w:szCs w:val="24"/>
        </w:rPr>
        <w:t>esetében</w:t>
      </w:r>
      <w:r w:rsidR="00F61475" w:rsidRPr="00735498">
        <w:rPr>
          <w:bCs/>
          <w:szCs w:val="24"/>
        </w:rPr>
        <w:t xml:space="preserve"> </w:t>
      </w:r>
      <w:r w:rsidRPr="00735498">
        <w:rPr>
          <w:bCs/>
          <w:szCs w:val="24"/>
        </w:rPr>
        <w:t xml:space="preserve">állapította meg, hogy a tranzakció a </w:t>
      </w:r>
      <w:proofErr w:type="gramStart"/>
      <w:r w:rsidRPr="00735498">
        <w:rPr>
          <w:bCs/>
          <w:szCs w:val="24"/>
        </w:rPr>
        <w:t>verseny jelentős</w:t>
      </w:r>
      <w:proofErr w:type="gramEnd"/>
      <w:r w:rsidRPr="00735498">
        <w:rPr>
          <w:bCs/>
          <w:szCs w:val="24"/>
        </w:rPr>
        <w:t xml:space="preserve"> mértékű csökkenését eredményezné. A GVH előzetes aggályainak megismerését követően a DIGI vállalta, hogy </w:t>
      </w:r>
      <w:r w:rsidR="00531789" w:rsidRPr="00735498">
        <w:rPr>
          <w:bCs/>
          <w:szCs w:val="24"/>
        </w:rPr>
        <w:t xml:space="preserve">értékesíti </w:t>
      </w:r>
      <w:r w:rsidRPr="008227CC">
        <w:rPr>
          <w:bCs/>
          <w:szCs w:val="24"/>
        </w:rPr>
        <w:t>az összefonódás révén</w:t>
      </w:r>
      <w:r w:rsidRPr="00735498">
        <w:rPr>
          <w:bCs/>
          <w:szCs w:val="24"/>
        </w:rPr>
        <w:t xml:space="preserve"> megszerzett Invitel hálózatokat (</w:t>
      </w:r>
      <w:r w:rsidRPr="008227CC">
        <w:rPr>
          <w:bCs/>
          <w:szCs w:val="24"/>
        </w:rPr>
        <w:t>ideértve a</w:t>
      </w:r>
      <w:r w:rsidR="00F61475">
        <w:rPr>
          <w:bCs/>
          <w:szCs w:val="24"/>
        </w:rPr>
        <w:t>zok</w:t>
      </w:r>
      <w:r w:rsidRPr="008227CC">
        <w:rPr>
          <w:bCs/>
          <w:szCs w:val="24"/>
        </w:rPr>
        <w:t xml:space="preserve"> infrastruktúráját és az értékesítés időpontjában meglévő előfizetői szerződése</w:t>
      </w:r>
      <w:r w:rsidR="00F61475">
        <w:rPr>
          <w:bCs/>
          <w:szCs w:val="24"/>
        </w:rPr>
        <w:t>ke</w:t>
      </w:r>
      <w:r w:rsidRPr="008227CC">
        <w:rPr>
          <w:bCs/>
          <w:szCs w:val="24"/>
        </w:rPr>
        <w:t xml:space="preserve">t) </w:t>
      </w:r>
      <w:r w:rsidRPr="00735498">
        <w:rPr>
          <w:bCs/>
          <w:szCs w:val="24"/>
        </w:rPr>
        <w:t xml:space="preserve">e 16 településen </w:t>
      </w:r>
      <w:r w:rsidRPr="008227CC">
        <w:rPr>
          <w:bCs/>
          <w:szCs w:val="24"/>
        </w:rPr>
        <w:t xml:space="preserve">a bejelentett összefonódás </w:t>
      </w:r>
      <w:r w:rsidR="00F61475">
        <w:rPr>
          <w:bCs/>
          <w:szCs w:val="24"/>
        </w:rPr>
        <w:t>le</w:t>
      </w:r>
      <w:r w:rsidRPr="008227CC">
        <w:rPr>
          <w:bCs/>
          <w:szCs w:val="24"/>
        </w:rPr>
        <w:t>zárását követő hat hónapon belül</w:t>
      </w:r>
      <w:r>
        <w:rPr>
          <w:bCs/>
          <w:szCs w:val="24"/>
        </w:rPr>
        <w:t xml:space="preserve">. </w:t>
      </w:r>
      <w:r w:rsidRPr="008227CC">
        <w:rPr>
          <w:bCs/>
          <w:szCs w:val="24"/>
        </w:rPr>
        <w:t xml:space="preserve">A leválasztáshoz kapcsolódóan a DIGI köteles </w:t>
      </w:r>
      <w:r w:rsidR="00F61475" w:rsidRPr="008227CC">
        <w:rPr>
          <w:bCs/>
          <w:szCs w:val="24"/>
        </w:rPr>
        <w:t xml:space="preserve">fenntartani </w:t>
      </w:r>
      <w:r w:rsidRPr="008227CC">
        <w:rPr>
          <w:bCs/>
          <w:szCs w:val="24"/>
        </w:rPr>
        <w:t>a hálózatok gazdasági működőképességét és versenyképességét, valamint tartózkodni az előfizetők átcsábításától</w:t>
      </w:r>
      <w:r w:rsidR="00F61475">
        <w:rPr>
          <w:bCs/>
          <w:szCs w:val="24"/>
        </w:rPr>
        <w:t>. A felsorolt</w:t>
      </w:r>
      <w:r w:rsidRPr="008227CC">
        <w:rPr>
          <w:bCs/>
          <w:szCs w:val="24"/>
        </w:rPr>
        <w:t xml:space="preserve"> kötelezettségek felügyeletére </w:t>
      </w:r>
      <w:r w:rsidRPr="00735498">
        <w:rPr>
          <w:bCs/>
          <w:szCs w:val="24"/>
        </w:rPr>
        <w:t xml:space="preserve">a GVH ellenőrző biztost jelölt ki (hasonlóan </w:t>
      </w:r>
      <w:r w:rsidRPr="003967D0">
        <w:rPr>
          <w:bCs/>
          <w:szCs w:val="24"/>
        </w:rPr>
        <w:t xml:space="preserve">a </w:t>
      </w:r>
      <w:hyperlink r:id="rId9" w:history="1">
        <w:r w:rsidR="003967D0" w:rsidRPr="003967D0">
          <w:rPr>
            <w:rStyle w:val="Hiperhivatkozs"/>
            <w:rFonts w:ascii="Times New Roman" w:hAnsi="Times New Roman"/>
          </w:rPr>
          <w:t>DDC/</w:t>
        </w:r>
        <w:proofErr w:type="spellStart"/>
        <w:r w:rsidR="003967D0" w:rsidRPr="003967D0">
          <w:rPr>
            <w:rStyle w:val="Hiperhivatkozs"/>
            <w:rFonts w:ascii="Times New Roman" w:hAnsi="Times New Roman"/>
          </w:rPr>
          <w:t>Readymix</w:t>
        </w:r>
        <w:proofErr w:type="spellEnd"/>
        <w:r w:rsidR="003967D0" w:rsidRPr="003967D0">
          <w:rPr>
            <w:rStyle w:val="Hiperhivatkozs"/>
            <w:rFonts w:ascii="Times New Roman" w:hAnsi="Times New Roman"/>
          </w:rPr>
          <w:t xml:space="preserve"> tranzakcióhoz</w:t>
        </w:r>
      </w:hyperlink>
      <w:r w:rsidRPr="00735498">
        <w:rPr>
          <w:bCs/>
          <w:szCs w:val="24"/>
        </w:rPr>
        <w:t>).</w:t>
      </w:r>
    </w:p>
    <w:p w:rsidR="005E09F8" w:rsidRPr="00735498" w:rsidRDefault="005E09F8" w:rsidP="00735498">
      <w:pPr>
        <w:tabs>
          <w:tab w:val="left" w:pos="851"/>
        </w:tabs>
        <w:ind w:left="851"/>
        <w:rPr>
          <w:bCs/>
          <w:szCs w:val="24"/>
        </w:rPr>
      </w:pPr>
      <w:r w:rsidRPr="00735498">
        <w:rPr>
          <w:bCs/>
          <w:szCs w:val="24"/>
        </w:rPr>
        <w:t xml:space="preserve">A GVH lehetséges horizontális hatásnak tekintette továbbá, hogy 25 településen az Invitel saját </w:t>
      </w:r>
      <w:r w:rsidR="00531789" w:rsidRPr="00735498">
        <w:rPr>
          <w:bCs/>
          <w:szCs w:val="24"/>
        </w:rPr>
        <w:t>hálózat</w:t>
      </w:r>
      <w:r w:rsidR="00531789">
        <w:rPr>
          <w:bCs/>
          <w:szCs w:val="24"/>
        </w:rPr>
        <w:t>á</w:t>
      </w:r>
      <w:r w:rsidR="00531789" w:rsidRPr="00735498">
        <w:rPr>
          <w:bCs/>
          <w:szCs w:val="24"/>
        </w:rPr>
        <w:t xml:space="preserve">n </w:t>
      </w:r>
      <w:r w:rsidRPr="00735498">
        <w:rPr>
          <w:bCs/>
          <w:szCs w:val="24"/>
        </w:rPr>
        <w:t xml:space="preserve">nyújtott vezetékes távközlési szolgáltatásaival van jelen, míg a </w:t>
      </w:r>
      <w:proofErr w:type="spellStart"/>
      <w:r w:rsidRPr="00735498">
        <w:rPr>
          <w:bCs/>
          <w:szCs w:val="24"/>
        </w:rPr>
        <w:t>DIGI-vel</w:t>
      </w:r>
      <w:proofErr w:type="spellEnd"/>
      <w:r w:rsidRPr="00735498">
        <w:rPr>
          <w:bCs/>
          <w:szCs w:val="24"/>
        </w:rPr>
        <w:t xml:space="preserve"> azonos vállalkozáscsoportba tartozó </w:t>
      </w:r>
      <w:proofErr w:type="spellStart"/>
      <w:r w:rsidRPr="00735498">
        <w:rPr>
          <w:bCs/>
          <w:szCs w:val="24"/>
        </w:rPr>
        <w:t>i-TV</w:t>
      </w:r>
      <w:proofErr w:type="spellEnd"/>
      <w:r w:rsidRPr="00735498">
        <w:rPr>
          <w:bCs/>
          <w:szCs w:val="24"/>
        </w:rPr>
        <w:t xml:space="preserve"> </w:t>
      </w:r>
      <w:r w:rsidR="003D2E1B">
        <w:rPr>
          <w:bCs/>
          <w:szCs w:val="24"/>
        </w:rPr>
        <w:t>Di</w:t>
      </w:r>
      <w:r w:rsidR="003D2E1B">
        <w:rPr>
          <w:bCs/>
          <w:szCs w:val="24"/>
        </w:rPr>
        <w:t>g</w:t>
      </w:r>
      <w:r w:rsidR="003D2E1B">
        <w:rPr>
          <w:bCs/>
          <w:szCs w:val="24"/>
        </w:rPr>
        <w:t xml:space="preserve">itális </w:t>
      </w:r>
      <w:r w:rsidR="00834F25">
        <w:rPr>
          <w:bCs/>
          <w:szCs w:val="24"/>
        </w:rPr>
        <w:t xml:space="preserve">Távközlési </w:t>
      </w:r>
      <w:proofErr w:type="spellStart"/>
      <w:r w:rsidR="00834F25">
        <w:rPr>
          <w:bCs/>
          <w:szCs w:val="24"/>
        </w:rPr>
        <w:t>Zrt</w:t>
      </w:r>
      <w:proofErr w:type="spellEnd"/>
      <w:r w:rsidR="00834F25">
        <w:rPr>
          <w:bCs/>
          <w:szCs w:val="24"/>
        </w:rPr>
        <w:t xml:space="preserve">. </w:t>
      </w:r>
      <w:r w:rsidRPr="00735498">
        <w:rPr>
          <w:bCs/>
          <w:szCs w:val="24"/>
        </w:rPr>
        <w:t xml:space="preserve">más piaci szereplőtől bérelt hálózaton </w:t>
      </w:r>
      <w:r w:rsidR="004D2EB7" w:rsidRPr="00735498">
        <w:rPr>
          <w:bCs/>
          <w:szCs w:val="24"/>
        </w:rPr>
        <w:t>nyújt</w:t>
      </w:r>
      <w:r w:rsidR="004D2EB7">
        <w:rPr>
          <w:bCs/>
          <w:szCs w:val="24"/>
        </w:rPr>
        <w:t xml:space="preserve"> </w:t>
      </w:r>
      <w:r w:rsidR="00B93C19">
        <w:rPr>
          <w:bCs/>
          <w:szCs w:val="24"/>
        </w:rPr>
        <w:t>televízió-</w:t>
      </w:r>
      <w:r w:rsidRPr="00735498">
        <w:rPr>
          <w:bCs/>
          <w:szCs w:val="24"/>
        </w:rPr>
        <w:t>szolgáltatást, azaz az összefonódás által csökkenne az ilyen szolgáltatást egymástól független vállalkozásk</w:t>
      </w:r>
      <w:r w:rsidR="00531789">
        <w:rPr>
          <w:bCs/>
          <w:szCs w:val="24"/>
        </w:rPr>
        <w:t>ént</w:t>
      </w:r>
      <w:r w:rsidRPr="00735498">
        <w:rPr>
          <w:bCs/>
          <w:szCs w:val="24"/>
        </w:rPr>
        <w:t xml:space="preserve"> </w:t>
      </w:r>
      <w:r w:rsidR="00531789" w:rsidRPr="00735498">
        <w:rPr>
          <w:bCs/>
          <w:szCs w:val="24"/>
        </w:rPr>
        <w:t>nyújtó</w:t>
      </w:r>
      <w:r w:rsidR="00531789">
        <w:rPr>
          <w:bCs/>
          <w:szCs w:val="24"/>
        </w:rPr>
        <w:t>k</w:t>
      </w:r>
      <w:r w:rsidR="00531789" w:rsidRPr="00735498">
        <w:rPr>
          <w:bCs/>
          <w:szCs w:val="24"/>
        </w:rPr>
        <w:t xml:space="preserve"> </w:t>
      </w:r>
      <w:r w:rsidRPr="00735498">
        <w:rPr>
          <w:bCs/>
          <w:szCs w:val="24"/>
        </w:rPr>
        <w:t xml:space="preserve">száma. A DIGI vállalta e </w:t>
      </w:r>
      <w:r w:rsidRPr="008227CC">
        <w:rPr>
          <w:bCs/>
          <w:szCs w:val="24"/>
        </w:rPr>
        <w:t xml:space="preserve">településeken a </w:t>
      </w:r>
      <w:r w:rsidR="00531789">
        <w:rPr>
          <w:bCs/>
          <w:szCs w:val="24"/>
        </w:rPr>
        <w:t>kilépést</w:t>
      </w:r>
      <w:r w:rsidR="00531789" w:rsidRPr="008227CC">
        <w:rPr>
          <w:bCs/>
          <w:szCs w:val="24"/>
        </w:rPr>
        <w:t xml:space="preserve"> </w:t>
      </w:r>
      <w:r w:rsidR="00531789">
        <w:rPr>
          <w:bCs/>
          <w:szCs w:val="24"/>
        </w:rPr>
        <w:t xml:space="preserve">a </w:t>
      </w:r>
      <w:r w:rsidRPr="008227CC">
        <w:rPr>
          <w:bCs/>
          <w:szCs w:val="24"/>
        </w:rPr>
        <w:t>vezetékes távközlési hálózatokra vonatkozó bérleti szerződése</w:t>
      </w:r>
      <w:r>
        <w:rPr>
          <w:bCs/>
          <w:szCs w:val="24"/>
        </w:rPr>
        <w:t xml:space="preserve">kből </w:t>
      </w:r>
      <w:r w:rsidRPr="008227CC">
        <w:rPr>
          <w:bCs/>
          <w:szCs w:val="24"/>
        </w:rPr>
        <w:t>(</w:t>
      </w:r>
      <w:r>
        <w:rPr>
          <w:bCs/>
          <w:szCs w:val="24"/>
        </w:rPr>
        <w:t xml:space="preserve">azok </w:t>
      </w:r>
      <w:r w:rsidRPr="008227CC">
        <w:rPr>
          <w:bCs/>
          <w:szCs w:val="24"/>
        </w:rPr>
        <w:t>meg nem hosszabbítását)</w:t>
      </w:r>
      <w:r w:rsidR="00531789">
        <w:rPr>
          <w:bCs/>
          <w:szCs w:val="24"/>
        </w:rPr>
        <w:t>,</w:t>
      </w:r>
      <w:r w:rsidRPr="008227CC">
        <w:rPr>
          <w:bCs/>
          <w:szCs w:val="24"/>
        </w:rPr>
        <w:t xml:space="preserve"> és ehhez kapcsolódóan az átszerződtetés és az aktív marketing </w:t>
      </w:r>
      <w:r w:rsidR="00531789" w:rsidRPr="008227CC">
        <w:rPr>
          <w:bCs/>
          <w:szCs w:val="24"/>
        </w:rPr>
        <w:t xml:space="preserve">tilalmát </w:t>
      </w:r>
      <w:r w:rsidRPr="008227CC">
        <w:rPr>
          <w:bCs/>
          <w:szCs w:val="24"/>
        </w:rPr>
        <w:t xml:space="preserve">1 éves időtartamra. </w:t>
      </w:r>
    </w:p>
    <w:p w:rsidR="005E09F8" w:rsidRPr="00735498" w:rsidRDefault="005E09F8" w:rsidP="00735498">
      <w:pPr>
        <w:tabs>
          <w:tab w:val="left" w:pos="851"/>
        </w:tabs>
        <w:ind w:left="851"/>
        <w:rPr>
          <w:bCs/>
          <w:szCs w:val="24"/>
        </w:rPr>
      </w:pPr>
      <w:r w:rsidRPr="00735498">
        <w:rPr>
          <w:bCs/>
          <w:szCs w:val="24"/>
        </w:rPr>
        <w:lastRenderedPageBreak/>
        <w:t xml:space="preserve">Összességében tehát a </w:t>
      </w:r>
      <w:proofErr w:type="spellStart"/>
      <w:r w:rsidRPr="00735498">
        <w:rPr>
          <w:bCs/>
          <w:szCs w:val="24"/>
        </w:rPr>
        <w:t>DIGI-nek</w:t>
      </w:r>
      <w:proofErr w:type="spellEnd"/>
      <w:r w:rsidRPr="00735498">
        <w:rPr>
          <w:bCs/>
          <w:szCs w:val="24"/>
        </w:rPr>
        <w:t xml:space="preserve"> </w:t>
      </w:r>
      <w:r w:rsidR="0037423A" w:rsidRPr="00735498">
        <w:rPr>
          <w:bCs/>
          <w:szCs w:val="24"/>
        </w:rPr>
        <w:t xml:space="preserve">16 településen kell értékesítenie </w:t>
      </w:r>
      <w:r w:rsidRPr="00735498">
        <w:rPr>
          <w:bCs/>
          <w:szCs w:val="24"/>
        </w:rPr>
        <w:t xml:space="preserve">a megszerzett Invitel </w:t>
      </w:r>
      <w:r w:rsidR="0037423A" w:rsidRPr="00735498">
        <w:rPr>
          <w:bCs/>
          <w:szCs w:val="24"/>
        </w:rPr>
        <w:t>hálózat</w:t>
      </w:r>
      <w:r w:rsidR="0037423A">
        <w:rPr>
          <w:bCs/>
          <w:szCs w:val="24"/>
        </w:rPr>
        <w:t>ait</w:t>
      </w:r>
      <w:r w:rsidRPr="00735498">
        <w:rPr>
          <w:bCs/>
          <w:szCs w:val="24"/>
        </w:rPr>
        <w:t xml:space="preserve"> 6 hónapon belül, ellenőrző biztos felügyelete mellett, valamint 25 településen </w:t>
      </w:r>
      <w:r w:rsidR="00531789" w:rsidRPr="00A003CE">
        <w:rPr>
          <w:bCs/>
          <w:szCs w:val="24"/>
        </w:rPr>
        <w:t xml:space="preserve">kell kilépnie </w:t>
      </w:r>
      <w:r w:rsidRPr="00A003CE">
        <w:rPr>
          <w:bCs/>
          <w:szCs w:val="24"/>
        </w:rPr>
        <w:t>a tőle független vezetékes távközlési hálózatokra vonatkozó bérleti szerződése</w:t>
      </w:r>
      <w:r w:rsidR="0037423A">
        <w:rPr>
          <w:bCs/>
          <w:szCs w:val="24"/>
        </w:rPr>
        <w:t>k</w:t>
      </w:r>
      <w:r w:rsidRPr="00A003CE">
        <w:rPr>
          <w:bCs/>
          <w:szCs w:val="24"/>
        </w:rPr>
        <w:t xml:space="preserve">ből. </w:t>
      </w:r>
      <w:r w:rsidRPr="00735498">
        <w:rPr>
          <w:bCs/>
          <w:szCs w:val="24"/>
        </w:rPr>
        <w:t xml:space="preserve">A GVH az ügyet lezáró  határozatában előírta a fenti utólagos feltételeket és kötelezettségeket, </w:t>
      </w:r>
      <w:r w:rsidR="00531789" w:rsidRPr="00735498">
        <w:rPr>
          <w:bCs/>
          <w:szCs w:val="24"/>
        </w:rPr>
        <w:t xml:space="preserve"> </w:t>
      </w:r>
      <w:r w:rsidRPr="00735498">
        <w:rPr>
          <w:bCs/>
          <w:szCs w:val="24"/>
        </w:rPr>
        <w:t>megállapít</w:t>
      </w:r>
      <w:r w:rsidR="0037423A">
        <w:rPr>
          <w:bCs/>
          <w:szCs w:val="24"/>
        </w:rPr>
        <w:t>va</w:t>
      </w:r>
      <w:r w:rsidRPr="00735498">
        <w:rPr>
          <w:bCs/>
          <w:szCs w:val="24"/>
        </w:rPr>
        <w:t xml:space="preserve">, hogy </w:t>
      </w:r>
      <w:r w:rsidRPr="00A003CE">
        <w:rPr>
          <w:bCs/>
          <w:szCs w:val="24"/>
        </w:rPr>
        <w:t xml:space="preserve">ezek együttes teljesülése esetén kiküszöbölhető a </w:t>
      </w:r>
      <w:proofErr w:type="gramStart"/>
      <w:r w:rsidRPr="00A003CE">
        <w:rPr>
          <w:bCs/>
          <w:szCs w:val="24"/>
        </w:rPr>
        <w:t xml:space="preserve">verseny </w:t>
      </w:r>
      <w:r w:rsidR="00531789" w:rsidRPr="00A003CE">
        <w:rPr>
          <w:bCs/>
          <w:szCs w:val="24"/>
        </w:rPr>
        <w:t>jelentős</w:t>
      </w:r>
      <w:proofErr w:type="gramEnd"/>
      <w:r w:rsidR="00531789" w:rsidRPr="00A003CE">
        <w:rPr>
          <w:bCs/>
          <w:szCs w:val="24"/>
        </w:rPr>
        <w:t xml:space="preserve"> mértékű</w:t>
      </w:r>
      <w:r w:rsidR="00531789">
        <w:rPr>
          <w:bCs/>
          <w:szCs w:val="24"/>
        </w:rPr>
        <w:t>,</w:t>
      </w:r>
      <w:r w:rsidR="00531789" w:rsidRPr="00A003CE">
        <w:rPr>
          <w:bCs/>
          <w:szCs w:val="24"/>
        </w:rPr>
        <w:t xml:space="preserve"> </w:t>
      </w:r>
      <w:r w:rsidRPr="00A003CE">
        <w:rPr>
          <w:bCs/>
          <w:szCs w:val="24"/>
        </w:rPr>
        <w:t>az összefonódásból eredő csökkenése</w:t>
      </w:r>
      <w:r w:rsidRPr="00735498">
        <w:rPr>
          <w:bCs/>
          <w:szCs w:val="24"/>
        </w:rPr>
        <w:t>.</w:t>
      </w:r>
    </w:p>
    <w:p w:rsidR="004A569F" w:rsidRDefault="000A0214">
      <w:pPr>
        <w:tabs>
          <w:tab w:val="left" w:pos="851"/>
        </w:tabs>
        <w:ind w:left="851"/>
        <w:rPr>
          <w:b/>
          <w:szCs w:val="24"/>
        </w:rPr>
      </w:pPr>
      <w:r>
        <w:rPr>
          <w:szCs w:val="24"/>
        </w:rPr>
        <w:t xml:space="preserve">Az ügy hivatali nyilvántartási száma: </w:t>
      </w:r>
      <w:proofErr w:type="spellStart"/>
      <w:r w:rsidR="00735498" w:rsidRPr="00735498">
        <w:rPr>
          <w:b/>
          <w:szCs w:val="24"/>
        </w:rPr>
        <w:t>Vj</w:t>
      </w:r>
      <w:proofErr w:type="spellEnd"/>
      <w:r w:rsidR="00735498" w:rsidRPr="00735498">
        <w:rPr>
          <w:b/>
          <w:szCs w:val="24"/>
        </w:rPr>
        <w:t>/43/2017</w:t>
      </w:r>
      <w:r>
        <w:rPr>
          <w:b/>
          <w:szCs w:val="24"/>
        </w:rPr>
        <w:t>.</w:t>
      </w:r>
    </w:p>
    <w:p w:rsidR="00EC34AA" w:rsidRDefault="00EC34AA">
      <w:pPr>
        <w:tabs>
          <w:tab w:val="left" w:pos="851"/>
        </w:tabs>
        <w:ind w:left="851"/>
        <w:rPr>
          <w:szCs w:val="24"/>
        </w:rPr>
      </w:pPr>
      <w:bookmarkStart w:id="0" w:name="_GoBack"/>
      <w:bookmarkEnd w:id="0"/>
    </w:p>
    <w:p w:rsidR="004A569F" w:rsidRDefault="000A0214">
      <w:pPr>
        <w:spacing w:before="120"/>
        <w:ind w:left="851"/>
        <w:rPr>
          <w:szCs w:val="24"/>
        </w:rPr>
      </w:pPr>
      <w:r>
        <w:rPr>
          <w:szCs w:val="24"/>
        </w:rPr>
        <w:t xml:space="preserve">Budapest, </w:t>
      </w:r>
      <w:r w:rsidR="00151D52" w:rsidRPr="00151D52">
        <w:rPr>
          <w:szCs w:val="24"/>
        </w:rPr>
        <w:t xml:space="preserve">2018. </w:t>
      </w:r>
      <w:r w:rsidR="00C03FD2">
        <w:rPr>
          <w:szCs w:val="24"/>
        </w:rPr>
        <w:t xml:space="preserve">május </w:t>
      </w:r>
      <w:r w:rsidR="00EC34AA">
        <w:rPr>
          <w:szCs w:val="24"/>
        </w:rPr>
        <w:t>10.</w:t>
      </w:r>
    </w:p>
    <w:p w:rsidR="004A569F" w:rsidRDefault="000A0214">
      <w:pPr>
        <w:tabs>
          <w:tab w:val="left" w:pos="851"/>
        </w:tabs>
        <w:ind w:left="851"/>
        <w:jc w:val="right"/>
        <w:rPr>
          <w:szCs w:val="24"/>
        </w:rPr>
      </w:pPr>
      <w:r>
        <w:rPr>
          <w:szCs w:val="24"/>
        </w:rPr>
        <w:t>Gazdasági Versenyhivatal</w:t>
      </w:r>
    </w:p>
    <w:p w:rsidR="00EC34AA" w:rsidRDefault="00EC34AA">
      <w:pPr>
        <w:tabs>
          <w:tab w:val="left" w:pos="851"/>
        </w:tabs>
        <w:ind w:left="851"/>
        <w:jc w:val="right"/>
        <w:rPr>
          <w:szCs w:val="24"/>
        </w:rPr>
      </w:pP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404"/>
      </w:tblGrid>
      <w:tr w:rsidR="004A569F" w:rsidTr="008E2401">
        <w:tc>
          <w:tcPr>
            <w:tcW w:w="4315" w:type="dxa"/>
          </w:tcPr>
          <w:p w:rsidR="004A569F" w:rsidRDefault="001D264B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ab/>
            </w:r>
            <w:r w:rsidR="000A0214">
              <w:rPr>
                <w:b/>
                <w:bCs/>
                <w:szCs w:val="24"/>
              </w:rPr>
              <w:t>Információ a sajtó részére:</w:t>
            </w:r>
          </w:p>
          <w:p w:rsidR="004A569F" w:rsidRDefault="004F44F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0A0214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0A0214">
              <w:rPr>
                <w:bCs/>
                <w:szCs w:val="24"/>
              </w:rPr>
              <w:t xml:space="preserve"> </w:t>
            </w:r>
          </w:p>
          <w:p w:rsidR="004A569F" w:rsidRDefault="004F44F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0A0214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0A0214">
              <w:rPr>
                <w:bCs/>
                <w:szCs w:val="24"/>
              </w:rPr>
              <w:t xml:space="preserve"> </w:t>
            </w:r>
          </w:p>
        </w:tc>
        <w:tc>
          <w:tcPr>
            <w:tcW w:w="4404" w:type="dxa"/>
          </w:tcPr>
          <w:p w:rsidR="004A569F" w:rsidRDefault="000A0214" w:rsidP="008E2401">
            <w:pPr>
              <w:tabs>
                <w:tab w:val="left" w:pos="142"/>
              </w:tabs>
              <w:spacing w:after="0"/>
              <w:ind w:left="142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További információk:</w:t>
            </w: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GVH Ügyfélszolgálata</w:t>
            </w:r>
            <w:r>
              <w:rPr>
                <w:bCs/>
                <w:szCs w:val="24"/>
              </w:rPr>
              <w:br/>
              <w:t>tel: (+36-1) 472-8851</w:t>
            </w:r>
            <w:r>
              <w:rPr>
                <w:bCs/>
                <w:szCs w:val="24"/>
              </w:rPr>
              <w:br/>
              <w:t xml:space="preserve">e-mail: </w:t>
            </w:r>
            <w:hyperlink r:id="rId12" w:history="1">
              <w:r>
                <w:rPr>
                  <w:bCs/>
                  <w:szCs w:val="24"/>
                </w:rPr>
                <w:t>ugyfelszolgalat@gvh.hu</w:t>
              </w:r>
            </w:hyperlink>
            <w:r w:rsidR="00151D5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hyperlink r:id="rId13" w:history="1">
              <w:r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>
              <w:rPr>
                <w:bCs/>
                <w:szCs w:val="24"/>
              </w:rPr>
              <w:t xml:space="preserve"> </w:t>
            </w:r>
          </w:p>
        </w:tc>
      </w:tr>
    </w:tbl>
    <w:p w:rsidR="004A569F" w:rsidRDefault="004A569F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</w:p>
    <w:sectPr w:rsidR="004A569F" w:rsidSect="004F44FC">
      <w:footerReference w:type="default" r:id="rId14"/>
      <w:headerReference w:type="first" r:id="rId15"/>
      <w:footerReference w:type="first" r:id="rId16"/>
      <w:pgSz w:w="11906" w:h="16838"/>
      <w:pgMar w:top="1525" w:right="1418" w:bottom="426" w:left="1134" w:header="568" w:footer="83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41F2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7D" w:rsidRDefault="00E4737D">
      <w:pPr>
        <w:spacing w:after="0" w:line="240" w:lineRule="auto"/>
      </w:pPr>
      <w:r>
        <w:separator/>
      </w:r>
    </w:p>
  </w:endnote>
  <w:endnote w:type="continuationSeparator" w:id="0">
    <w:p w:rsidR="00E4737D" w:rsidRDefault="00E4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0A0214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6E37DDC" wp14:editId="60602687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4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44FC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0A0214" w:rsidP="001D264B">
    <w:pPr>
      <w:tabs>
        <w:tab w:val="right" w:pos="9354"/>
      </w:tabs>
      <w:spacing w:before="284" w:after="0" w:line="240" w:lineRule="auto"/>
      <w:ind w:left="0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E3322A9" wp14:editId="0AC59746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6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7D" w:rsidRDefault="00E4737D">
      <w:pPr>
        <w:spacing w:after="0" w:line="240" w:lineRule="auto"/>
      </w:pPr>
      <w:r>
        <w:separator/>
      </w:r>
    </w:p>
  </w:footnote>
  <w:footnote w:type="continuationSeparator" w:id="0">
    <w:p w:rsidR="00E4737D" w:rsidRDefault="00E4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4A569F">
    <w:pPr>
      <w:pStyle w:val="lfej"/>
      <w:tabs>
        <w:tab w:val="clear" w:pos="4536"/>
        <w:tab w:val="clear" w:pos="9072"/>
        <w:tab w:val="left" w:pos="6855"/>
      </w:tabs>
      <w:jc w:val="both"/>
    </w:pPr>
  </w:p>
  <w:p w:rsidR="004A569F" w:rsidRDefault="000A0214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63B2FF6E" wp14:editId="64FDF880">
          <wp:simplePos x="0" y="0"/>
          <wp:positionH relativeFrom="page">
            <wp:posOffset>816610</wp:posOffset>
          </wp:positionH>
          <wp:positionV relativeFrom="page">
            <wp:posOffset>407035</wp:posOffset>
          </wp:positionV>
          <wp:extent cx="6120130" cy="424815"/>
          <wp:effectExtent l="0" t="0" r="0" b="0"/>
          <wp:wrapNone/>
          <wp:docPr id="5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C79FF"/>
    <w:multiLevelType w:val="hybridMultilevel"/>
    <w:tmpl w:val="0E1EE90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602917"/>
    <w:multiLevelType w:val="hybridMultilevel"/>
    <w:tmpl w:val="3BC69574"/>
    <w:lvl w:ilvl="0" w:tplc="D4B82EB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E3591"/>
    <w:multiLevelType w:val="hybridMultilevel"/>
    <w:tmpl w:val="53D8E2B0"/>
    <w:lvl w:ilvl="0" w:tplc="E7846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6365CD"/>
    <w:multiLevelType w:val="hybridMultilevel"/>
    <w:tmpl w:val="5066B6B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64411F"/>
    <w:multiLevelType w:val="hybridMultilevel"/>
    <w:tmpl w:val="E918F684"/>
    <w:lvl w:ilvl="0" w:tplc="05A26E74">
      <w:start w:val="1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1817" w:hanging="180"/>
      </w:pPr>
    </w:lvl>
    <w:lvl w:ilvl="3" w:tplc="040E000F">
      <w:start w:val="1"/>
      <w:numFmt w:val="decimal"/>
      <w:lvlText w:val="%4."/>
      <w:lvlJc w:val="left"/>
      <w:pPr>
        <w:ind w:left="3090" w:hanging="360"/>
      </w:pPr>
    </w:lvl>
    <w:lvl w:ilvl="4" w:tplc="040E0019">
      <w:start w:val="1"/>
      <w:numFmt w:val="lowerLetter"/>
      <w:lvlText w:val="%5."/>
      <w:lvlJc w:val="left"/>
      <w:pPr>
        <w:ind w:left="3810" w:hanging="360"/>
      </w:pPr>
    </w:lvl>
    <w:lvl w:ilvl="5" w:tplc="040E001B">
      <w:start w:val="1"/>
      <w:numFmt w:val="lowerRoman"/>
      <w:lvlText w:val="%6."/>
      <w:lvlJc w:val="right"/>
      <w:pPr>
        <w:ind w:left="4530" w:hanging="180"/>
      </w:pPr>
    </w:lvl>
    <w:lvl w:ilvl="6" w:tplc="040E000F">
      <w:start w:val="1"/>
      <w:numFmt w:val="decimal"/>
      <w:lvlText w:val="%7."/>
      <w:lvlJc w:val="left"/>
      <w:pPr>
        <w:ind w:left="5250" w:hanging="360"/>
      </w:pPr>
    </w:lvl>
    <w:lvl w:ilvl="7" w:tplc="040E0019">
      <w:start w:val="1"/>
      <w:numFmt w:val="lowerLetter"/>
      <w:lvlText w:val="%8."/>
      <w:lvlJc w:val="left"/>
      <w:pPr>
        <w:ind w:left="5970" w:hanging="360"/>
      </w:pPr>
    </w:lvl>
    <w:lvl w:ilvl="8" w:tplc="040E001B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>
    <w:nsid w:val="43C3502D"/>
    <w:multiLevelType w:val="hybridMultilevel"/>
    <w:tmpl w:val="101C53C2"/>
    <w:lvl w:ilvl="0" w:tplc="05A26E74">
      <w:start w:val="1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46394DF2"/>
    <w:multiLevelType w:val="hybridMultilevel"/>
    <w:tmpl w:val="F63010CE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DA3499"/>
    <w:multiLevelType w:val="hybridMultilevel"/>
    <w:tmpl w:val="3E26C0B2"/>
    <w:lvl w:ilvl="0" w:tplc="DBF4D2AC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CE612A8">
      <w:start w:val="1"/>
      <w:numFmt w:val="upperLetter"/>
      <w:lvlText w:val="%2)"/>
      <w:lvlJc w:val="left"/>
      <w:pPr>
        <w:ind w:left="1290" w:hanging="360"/>
      </w:pPr>
      <w:rPr>
        <w:rFonts w:ascii="Times New Roman" w:eastAsia="Calibr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457" w:hanging="180"/>
      </w:pPr>
    </w:lvl>
    <w:lvl w:ilvl="3" w:tplc="040E000F">
      <w:start w:val="1"/>
      <w:numFmt w:val="decimal"/>
      <w:lvlText w:val="%4."/>
      <w:lvlJc w:val="left"/>
      <w:pPr>
        <w:ind w:left="2730" w:hanging="360"/>
      </w:pPr>
    </w:lvl>
    <w:lvl w:ilvl="4" w:tplc="040E0019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5E856489"/>
    <w:multiLevelType w:val="hybridMultilevel"/>
    <w:tmpl w:val="64266FA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5250D1D"/>
    <w:multiLevelType w:val="hybridMultilevel"/>
    <w:tmpl w:val="945E65BC"/>
    <w:lvl w:ilvl="0" w:tplc="040E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2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72DEB"/>
    <w:multiLevelType w:val="hybridMultilevel"/>
    <w:tmpl w:val="403493F8"/>
    <w:lvl w:ilvl="0" w:tplc="9A286CD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C940C46"/>
    <w:multiLevelType w:val="hybridMultilevel"/>
    <w:tmpl w:val="18FCC12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654FE8"/>
    <w:multiLevelType w:val="hybridMultilevel"/>
    <w:tmpl w:val="8404F7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37"/>
  </w:num>
  <w:num w:numId="5">
    <w:abstractNumId w:val="23"/>
  </w:num>
  <w:num w:numId="6">
    <w:abstractNumId w:val="34"/>
  </w:num>
  <w:num w:numId="7">
    <w:abstractNumId w:val="11"/>
  </w:num>
  <w:num w:numId="8">
    <w:abstractNumId w:val="17"/>
  </w:num>
  <w:num w:numId="9">
    <w:abstractNumId w:val="22"/>
  </w:num>
  <w:num w:numId="10">
    <w:abstractNumId w:val="0"/>
  </w:num>
  <w:num w:numId="11">
    <w:abstractNumId w:val="32"/>
  </w:num>
  <w:num w:numId="12">
    <w:abstractNumId w:val="20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25"/>
  </w:num>
  <w:num w:numId="18">
    <w:abstractNumId w:val="21"/>
  </w:num>
  <w:num w:numId="19">
    <w:abstractNumId w:val="27"/>
  </w:num>
  <w:num w:numId="20">
    <w:abstractNumId w:val="36"/>
  </w:num>
  <w:num w:numId="21">
    <w:abstractNumId w:val="16"/>
  </w:num>
  <w:num w:numId="22">
    <w:abstractNumId w:val="14"/>
  </w:num>
  <w:num w:numId="23">
    <w:abstractNumId w:val="26"/>
  </w:num>
  <w:num w:numId="24">
    <w:abstractNumId w:val="4"/>
  </w:num>
  <w:num w:numId="25">
    <w:abstractNumId w:val="24"/>
  </w:num>
  <w:num w:numId="26">
    <w:abstractNumId w:val="6"/>
  </w:num>
  <w:num w:numId="27">
    <w:abstractNumId w:val="33"/>
  </w:num>
  <w:num w:numId="28">
    <w:abstractNumId w:val="13"/>
  </w:num>
  <w:num w:numId="29">
    <w:abstractNumId w:val="31"/>
  </w:num>
  <w:num w:numId="30">
    <w:abstractNumId w:val="30"/>
  </w:num>
  <w:num w:numId="31">
    <w:abstractNumId w:val="39"/>
  </w:num>
  <w:num w:numId="32">
    <w:abstractNumId w:val="3"/>
  </w:num>
  <w:num w:numId="33">
    <w:abstractNumId w:val="12"/>
  </w:num>
  <w:num w:numId="34">
    <w:abstractNumId w:val="35"/>
  </w:num>
  <w:num w:numId="35">
    <w:abstractNumId w:val="38"/>
  </w:num>
  <w:num w:numId="36">
    <w:abstractNumId w:val="9"/>
  </w:num>
  <w:num w:numId="37">
    <w:abstractNumId w:val="18"/>
  </w:num>
  <w:num w:numId="38">
    <w:abstractNumId w:val="29"/>
  </w:num>
  <w:num w:numId="39">
    <w:abstractNumId w:val="19"/>
  </w:num>
  <w:num w:numId="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-Kovács Ákos">
    <w15:presenceInfo w15:providerId="None" w15:userId="Martin-Kovács Ák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F"/>
    <w:rsid w:val="000468C4"/>
    <w:rsid w:val="00054090"/>
    <w:rsid w:val="00077AD5"/>
    <w:rsid w:val="000822C5"/>
    <w:rsid w:val="000A0214"/>
    <w:rsid w:val="00107303"/>
    <w:rsid w:val="001322A0"/>
    <w:rsid w:val="00151D52"/>
    <w:rsid w:val="001864D1"/>
    <w:rsid w:val="00195394"/>
    <w:rsid w:val="001D264B"/>
    <w:rsid w:val="00293C72"/>
    <w:rsid w:val="002D1338"/>
    <w:rsid w:val="00354192"/>
    <w:rsid w:val="00355964"/>
    <w:rsid w:val="0037423A"/>
    <w:rsid w:val="003967D0"/>
    <w:rsid w:val="003D142D"/>
    <w:rsid w:val="003D2E1B"/>
    <w:rsid w:val="003E7BF3"/>
    <w:rsid w:val="00412610"/>
    <w:rsid w:val="004165B8"/>
    <w:rsid w:val="00454552"/>
    <w:rsid w:val="004A2FA2"/>
    <w:rsid w:val="004A569F"/>
    <w:rsid w:val="004C6FCD"/>
    <w:rsid w:val="004D2EB7"/>
    <w:rsid w:val="004F0207"/>
    <w:rsid w:val="004F44FC"/>
    <w:rsid w:val="00517F24"/>
    <w:rsid w:val="005219D1"/>
    <w:rsid w:val="00531789"/>
    <w:rsid w:val="00544132"/>
    <w:rsid w:val="005E09F8"/>
    <w:rsid w:val="00656663"/>
    <w:rsid w:val="00734AF5"/>
    <w:rsid w:val="00735498"/>
    <w:rsid w:val="0074673E"/>
    <w:rsid w:val="0082607C"/>
    <w:rsid w:val="00834F25"/>
    <w:rsid w:val="008501F6"/>
    <w:rsid w:val="008C23E1"/>
    <w:rsid w:val="008E2401"/>
    <w:rsid w:val="00903216"/>
    <w:rsid w:val="009B7826"/>
    <w:rsid w:val="009D66ED"/>
    <w:rsid w:val="009F42E4"/>
    <w:rsid w:val="00A42BBE"/>
    <w:rsid w:val="00A74D29"/>
    <w:rsid w:val="00B147D5"/>
    <w:rsid w:val="00B93C19"/>
    <w:rsid w:val="00B94E3F"/>
    <w:rsid w:val="00BC06FE"/>
    <w:rsid w:val="00BF77B8"/>
    <w:rsid w:val="00C03240"/>
    <w:rsid w:val="00C03FD2"/>
    <w:rsid w:val="00C66C6F"/>
    <w:rsid w:val="00CB78E6"/>
    <w:rsid w:val="00CC4A8F"/>
    <w:rsid w:val="00CD128E"/>
    <w:rsid w:val="00CE3016"/>
    <w:rsid w:val="00D5048A"/>
    <w:rsid w:val="00DF6906"/>
    <w:rsid w:val="00DF7C8E"/>
    <w:rsid w:val="00E4737D"/>
    <w:rsid w:val="00E65D55"/>
    <w:rsid w:val="00E76718"/>
    <w:rsid w:val="00EC34AA"/>
    <w:rsid w:val="00ED5119"/>
    <w:rsid w:val="00F56C13"/>
    <w:rsid w:val="00F61475"/>
    <w:rsid w:val="00F8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Pr>
      <w:lang w:eastAsia="en-US"/>
    </w:rPr>
  </w:style>
  <w:style w:type="character" w:styleId="Lbjegyzet-hivatkozs">
    <w:name w:val="footnote reference"/>
    <w:aliases w:val="Footnote symbol,Footnote Reference Number,Fußnote"/>
    <w:rPr>
      <w:rFonts w:ascii="Arial" w:hAnsi="Arial"/>
      <w:vertAlign w:val="superscript"/>
    </w:rPr>
  </w:style>
  <w:style w:type="character" w:customStyle="1" w:styleId="Cmsor2Char">
    <w:name w:val="Címsor 2 Char"/>
    <w:link w:val="Cmsor2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Pr>
      <w:rFonts w:ascii="Arial" w:hAnsi="Arial"/>
      <w:color w:val="0000FF"/>
      <w:u w:val="single"/>
    </w:rPr>
  </w:style>
  <w:style w:type="character" w:styleId="Kiemels2">
    <w:name w:val="Strong"/>
    <w:qFormat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Pr>
      <w:lang w:eastAsia="en-US"/>
    </w:rPr>
  </w:style>
  <w:style w:type="character" w:styleId="Lbjegyzet-hivatkozs">
    <w:name w:val="footnote reference"/>
    <w:aliases w:val="Footnote symbol,Footnote Reference Number,Fußnote"/>
    <w:rPr>
      <w:rFonts w:ascii="Arial" w:hAnsi="Arial"/>
      <w:vertAlign w:val="superscript"/>
    </w:rPr>
  </w:style>
  <w:style w:type="character" w:customStyle="1" w:styleId="Cmsor2Char">
    <w:name w:val="Címsor 2 Char"/>
    <w:link w:val="Cmsor2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Pr>
      <w:rFonts w:ascii="Arial" w:hAnsi="Arial"/>
      <w:color w:val="0000FF"/>
      <w:u w:val="single"/>
    </w:rPr>
  </w:style>
  <w:style w:type="character" w:styleId="Kiemels2">
    <w:name w:val="Strong"/>
    <w:qFormat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vh.hu/sajtoszoba/sajtokozlemenyek/2017_es_sajtokozlemenyek/elso_alkalommal_rendelt_ki_ellenorzo_biztost_a_gvh.html" TargetMode="External"/><Relationship Id="rId14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7C14-5852-431D-8AD5-5807D36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3888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Csernyánszky Mihály dr.</cp:lastModifiedBy>
  <cp:revision>7</cp:revision>
  <cp:lastPrinted>2017-06-01T14:01:00Z</cp:lastPrinted>
  <dcterms:created xsi:type="dcterms:W3CDTF">2018-05-09T15:20:00Z</dcterms:created>
  <dcterms:modified xsi:type="dcterms:W3CDTF">2018-05-10T05:19:00Z</dcterms:modified>
</cp:coreProperties>
</file>